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CB30" w14:textId="52CFDA71" w:rsidR="006B7F1E" w:rsidRPr="00195C5C" w:rsidRDefault="00195C5C" w:rsidP="00195C5C">
      <w:pPr>
        <w:jc w:val="center"/>
        <w:rPr>
          <w:b/>
          <w:bCs/>
          <w:u w:val="single"/>
        </w:rPr>
      </w:pPr>
      <w:r w:rsidRPr="00195C5C">
        <w:rPr>
          <w:b/>
          <w:bCs/>
          <w:u w:val="single"/>
        </w:rPr>
        <w:t>Q</w:t>
      </w:r>
      <w:r w:rsidR="004F342A">
        <w:rPr>
          <w:b/>
          <w:bCs/>
          <w:u w:val="single"/>
        </w:rPr>
        <w:t>2</w:t>
      </w:r>
      <w:r w:rsidRPr="00195C5C">
        <w:rPr>
          <w:b/>
          <w:bCs/>
          <w:u w:val="single"/>
        </w:rPr>
        <w:t xml:space="preserve"> 202</w:t>
      </w:r>
      <w:r w:rsidR="00955E64">
        <w:rPr>
          <w:b/>
          <w:bCs/>
          <w:u w:val="single"/>
        </w:rPr>
        <w:t>1</w:t>
      </w:r>
      <w:r w:rsidRPr="00195C5C">
        <w:rPr>
          <w:b/>
          <w:bCs/>
          <w:u w:val="single"/>
        </w:rPr>
        <w:t xml:space="preserve">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CBFD445" w14:textId="13C8E55C" w:rsidR="00A62413" w:rsidRDefault="00A62413">
      <w:r>
        <w:t xml:space="preserve">If any questions arise, please contact us via a Support Case and reference the list below. </w:t>
      </w:r>
    </w:p>
    <w:p w14:paraId="2635466D" w14:textId="33FAF57F" w:rsidR="00E053C1" w:rsidRDefault="00E053C1"/>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003B12C8">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1C324212" w:rsidR="00040A6B" w:rsidRPr="00066FD8" w:rsidRDefault="00040A6B" w:rsidP="00CF3030">
            <w:pPr>
              <w:rPr>
                <w:b/>
                <w:bCs/>
                <w:highlight w:val="yellow"/>
              </w:rPr>
            </w:pPr>
            <w:r w:rsidRPr="00B63F9A">
              <w:rPr>
                <w:b/>
                <w:bCs/>
              </w:rPr>
              <w:t>Discovery – CDI</w:t>
            </w:r>
          </w:p>
        </w:tc>
        <w:tc>
          <w:tcPr>
            <w:tcW w:w="1980" w:type="dxa"/>
            <w:vAlign w:val="center"/>
          </w:tcPr>
          <w:p w14:paraId="052149CD" w14:textId="5AF75EDE" w:rsidR="00040A6B" w:rsidRPr="00E364EE" w:rsidRDefault="00027784" w:rsidP="00CF3030">
            <w:pPr>
              <w:rPr>
                <w:b/>
                <w:bCs/>
              </w:rPr>
            </w:pPr>
            <w:r>
              <w:rPr>
                <w:b/>
                <w:bCs/>
              </w:rPr>
              <w:t>Notes</w:t>
            </w:r>
          </w:p>
        </w:tc>
      </w:tr>
      <w:tr w:rsidR="003D7E3F" w14:paraId="6F483DAB" w14:textId="77777777" w:rsidTr="003B12C8">
        <w:tc>
          <w:tcPr>
            <w:tcW w:w="1975" w:type="dxa"/>
            <w:vAlign w:val="center"/>
          </w:tcPr>
          <w:p w14:paraId="4D64B2E3" w14:textId="7269E598" w:rsidR="003D7E3F" w:rsidRPr="003D7E3F" w:rsidRDefault="003D7E3F" w:rsidP="00CF3030">
            <w:r>
              <w:t>** GENERAL**</w:t>
            </w:r>
          </w:p>
        </w:tc>
        <w:tc>
          <w:tcPr>
            <w:tcW w:w="3330" w:type="dxa"/>
            <w:vAlign w:val="center"/>
          </w:tcPr>
          <w:p w14:paraId="2B2F8C6D" w14:textId="66BE4E84" w:rsidR="003D7E3F" w:rsidRPr="009E6904" w:rsidRDefault="003D7E3F" w:rsidP="00CF3030">
            <w:pPr>
              <w:rPr>
                <w:b/>
                <w:bCs/>
              </w:rPr>
            </w:pPr>
            <w:r w:rsidRPr="009E6904">
              <w:rPr>
                <w:b/>
                <w:bCs/>
                <w:color w:val="C00000"/>
              </w:rPr>
              <w:t>Annual Collections</w:t>
            </w:r>
          </w:p>
        </w:tc>
        <w:tc>
          <w:tcPr>
            <w:tcW w:w="1628" w:type="dxa"/>
            <w:vAlign w:val="center"/>
          </w:tcPr>
          <w:p w14:paraId="5A2B02E5" w14:textId="2DD70D26" w:rsidR="003D7E3F" w:rsidRPr="003D7E3F" w:rsidRDefault="003D7E3F" w:rsidP="003D7E3F">
            <w:pPr>
              <w:jc w:val="center"/>
            </w:pPr>
            <w:r>
              <w:t>V</w:t>
            </w:r>
          </w:p>
        </w:tc>
        <w:tc>
          <w:tcPr>
            <w:tcW w:w="1432" w:type="dxa"/>
            <w:vAlign w:val="center"/>
          </w:tcPr>
          <w:p w14:paraId="3F1AE81A" w14:textId="77777777" w:rsidR="003D7E3F" w:rsidRPr="003D7E3F" w:rsidRDefault="003D7E3F" w:rsidP="00CF3030"/>
        </w:tc>
        <w:tc>
          <w:tcPr>
            <w:tcW w:w="1980" w:type="dxa"/>
            <w:vAlign w:val="center"/>
          </w:tcPr>
          <w:p w14:paraId="06471048" w14:textId="401AF807" w:rsidR="003D7E3F" w:rsidRPr="003D7E3F" w:rsidRDefault="003D7E3F" w:rsidP="00CF3030">
            <w:r>
              <w:t xml:space="preserve">For updates on annual collections, see the relevant Knowledge Center articles for </w:t>
            </w:r>
            <w:hyperlink r:id="rId9" w:history="1">
              <w:r w:rsidRPr="00B8475D">
                <w:rPr>
                  <w:rStyle w:val="Hyperlink"/>
                </w:rPr>
                <w:t>360</w:t>
              </w:r>
            </w:hyperlink>
            <w:r w:rsidRPr="00B8475D">
              <w:t xml:space="preserve">, </w:t>
            </w:r>
            <w:hyperlink r:id="rId10" w:history="1">
              <w:r w:rsidRPr="00B8475D">
                <w:rPr>
                  <w:rStyle w:val="Hyperlink"/>
                </w:rPr>
                <w:t>SFX</w:t>
              </w:r>
            </w:hyperlink>
            <w:r w:rsidRPr="00B8475D">
              <w:t xml:space="preserve">, </w:t>
            </w:r>
            <w:hyperlink r:id="rId11" w:history="1">
              <w:r w:rsidRPr="00B8475D">
                <w:rPr>
                  <w:rStyle w:val="Hyperlink"/>
                </w:rPr>
                <w:t>Alma</w:t>
              </w:r>
            </w:hyperlink>
            <w:r>
              <w:t xml:space="preserve"> </w:t>
            </w:r>
            <w:r w:rsidR="00904DA2">
              <w:t xml:space="preserve"> </w:t>
            </w:r>
          </w:p>
        </w:tc>
      </w:tr>
      <w:bookmarkEnd w:id="0"/>
      <w:tr w:rsidR="00F34620" w14:paraId="3BEE9A43" w14:textId="77777777" w:rsidTr="003B12C8">
        <w:tc>
          <w:tcPr>
            <w:tcW w:w="1975" w:type="dxa"/>
            <w:vAlign w:val="center"/>
          </w:tcPr>
          <w:p w14:paraId="1F07408A" w14:textId="40DC12F0" w:rsidR="00F34620" w:rsidRDefault="00B63F9A" w:rsidP="00F34620">
            <w:pPr>
              <w:rPr>
                <w:rFonts w:ascii="Calibri" w:hAnsi="Calibri" w:cs="Calibri"/>
                <w:color w:val="000000"/>
              </w:rPr>
            </w:pPr>
            <w:r>
              <w:rPr>
                <w:rFonts w:ascii="Calibri" w:hAnsi="Calibri" w:cs="Calibri"/>
                <w:color w:val="000000"/>
              </w:rPr>
              <w:t>SELADOC</w:t>
            </w:r>
          </w:p>
        </w:tc>
        <w:tc>
          <w:tcPr>
            <w:tcW w:w="3330" w:type="dxa"/>
            <w:vAlign w:val="center"/>
          </w:tcPr>
          <w:p w14:paraId="7443A8CC" w14:textId="272A596E" w:rsidR="00F34620" w:rsidRDefault="00B63F9A" w:rsidP="003B12C8">
            <w:r>
              <w:t>Open Access content</w:t>
            </w:r>
          </w:p>
        </w:tc>
        <w:tc>
          <w:tcPr>
            <w:tcW w:w="1628" w:type="dxa"/>
            <w:vAlign w:val="center"/>
          </w:tcPr>
          <w:p w14:paraId="62AFA2ED" w14:textId="0AFC0ADA" w:rsidR="00F34620" w:rsidRDefault="00F34620" w:rsidP="003B12C8">
            <w:pPr>
              <w:jc w:val="center"/>
            </w:pPr>
          </w:p>
        </w:tc>
        <w:tc>
          <w:tcPr>
            <w:tcW w:w="1432" w:type="dxa"/>
            <w:vAlign w:val="center"/>
          </w:tcPr>
          <w:p w14:paraId="070A5204" w14:textId="1EB5960C" w:rsidR="00F34620" w:rsidRDefault="00B63F9A" w:rsidP="003B12C8">
            <w:pPr>
              <w:jc w:val="center"/>
            </w:pPr>
            <w:r>
              <w:t>V</w:t>
            </w:r>
          </w:p>
        </w:tc>
        <w:tc>
          <w:tcPr>
            <w:tcW w:w="1980" w:type="dxa"/>
            <w:vAlign w:val="center"/>
          </w:tcPr>
          <w:p w14:paraId="31F916DB" w14:textId="614691E7" w:rsidR="00F34620" w:rsidRDefault="00B63F9A" w:rsidP="003B12C8">
            <w:r>
              <w:t>LATAM regional content</w:t>
            </w:r>
          </w:p>
        </w:tc>
      </w:tr>
      <w:tr w:rsidR="00E0194D" w14:paraId="038CC94C" w14:textId="77777777" w:rsidTr="003B12C8">
        <w:tc>
          <w:tcPr>
            <w:tcW w:w="1975" w:type="dxa"/>
            <w:vAlign w:val="center"/>
          </w:tcPr>
          <w:p w14:paraId="084052C7" w14:textId="3F2B22A0" w:rsidR="00E0194D" w:rsidRPr="00696A51" w:rsidRDefault="00E0194D" w:rsidP="00E0194D">
            <w:pPr>
              <w:rPr>
                <w:rFonts w:ascii="Calibri" w:hAnsi="Calibri" w:cs="Calibri"/>
                <w:color w:val="000000"/>
              </w:rPr>
            </w:pPr>
            <w:r w:rsidRPr="00696A51">
              <w:rPr>
                <w:rFonts w:ascii="Calibri" w:hAnsi="Calibri" w:cs="Calibri"/>
              </w:rPr>
              <w:t>University of London</w:t>
            </w:r>
          </w:p>
        </w:tc>
        <w:tc>
          <w:tcPr>
            <w:tcW w:w="3330" w:type="dxa"/>
            <w:vAlign w:val="center"/>
          </w:tcPr>
          <w:p w14:paraId="26B44282" w14:textId="74DC37B4" w:rsidR="00E0194D" w:rsidRPr="00696A51" w:rsidRDefault="00E0194D" w:rsidP="00E0194D">
            <w:r w:rsidRPr="00696A51">
              <w:t>Humanities Digital Library, Open Access Scholarly Books</w:t>
            </w:r>
          </w:p>
        </w:tc>
        <w:tc>
          <w:tcPr>
            <w:tcW w:w="1628" w:type="dxa"/>
            <w:vAlign w:val="center"/>
          </w:tcPr>
          <w:p w14:paraId="6C684120" w14:textId="3F51DD97" w:rsidR="00E0194D" w:rsidRDefault="00E0194D" w:rsidP="00E0194D">
            <w:pPr>
              <w:jc w:val="center"/>
            </w:pPr>
            <w:r>
              <w:t>V</w:t>
            </w:r>
          </w:p>
        </w:tc>
        <w:tc>
          <w:tcPr>
            <w:tcW w:w="1432" w:type="dxa"/>
            <w:vAlign w:val="center"/>
          </w:tcPr>
          <w:p w14:paraId="769768E6" w14:textId="42AEC498" w:rsidR="00E0194D" w:rsidRDefault="00E0194D" w:rsidP="00E0194D">
            <w:pPr>
              <w:jc w:val="center"/>
            </w:pPr>
            <w:r>
              <w:t>V</w:t>
            </w:r>
          </w:p>
        </w:tc>
        <w:tc>
          <w:tcPr>
            <w:tcW w:w="1980" w:type="dxa"/>
            <w:vAlign w:val="center"/>
          </w:tcPr>
          <w:p w14:paraId="45B8D3C9" w14:textId="77777777" w:rsidR="00E0194D" w:rsidRDefault="00E0194D" w:rsidP="00E0194D">
            <w:r>
              <w:t>NERS request</w:t>
            </w:r>
          </w:p>
          <w:p w14:paraId="29A03E8F" w14:textId="27CD7F45" w:rsidR="00E0194D" w:rsidRDefault="00E0194D" w:rsidP="00696A51">
            <w:r>
              <w:t>Continued from Q1</w:t>
            </w:r>
            <w:r w:rsidR="00696A51">
              <w:t xml:space="preserve">, pending provider feedback </w:t>
            </w:r>
            <w:r>
              <w:t xml:space="preserve"> </w:t>
            </w:r>
          </w:p>
        </w:tc>
      </w:tr>
      <w:tr w:rsidR="00F34620" w14:paraId="5683EB25" w14:textId="77777777" w:rsidTr="003B12C8">
        <w:tc>
          <w:tcPr>
            <w:tcW w:w="1975" w:type="dxa"/>
            <w:vAlign w:val="center"/>
          </w:tcPr>
          <w:p w14:paraId="1B1DC729" w14:textId="58FA14BC" w:rsidR="00F34620" w:rsidRDefault="00B63F9A" w:rsidP="00F34620">
            <w:pPr>
              <w:rPr>
                <w:rFonts w:ascii="Calibri" w:hAnsi="Calibri" w:cs="Calibri"/>
                <w:color w:val="000000"/>
              </w:rPr>
            </w:pPr>
            <w:r>
              <w:rPr>
                <w:rFonts w:ascii="Calibri" w:hAnsi="Calibri" w:cs="Calibri"/>
                <w:color w:val="000000"/>
              </w:rPr>
              <w:t>Bloomsbury</w:t>
            </w:r>
          </w:p>
        </w:tc>
        <w:tc>
          <w:tcPr>
            <w:tcW w:w="3330" w:type="dxa"/>
            <w:vAlign w:val="center"/>
          </w:tcPr>
          <w:p w14:paraId="4074C040" w14:textId="77777777" w:rsidR="00F34620" w:rsidRDefault="00B63F9A" w:rsidP="003B12C8">
            <w:r>
              <w:t>Human Kinetics</w:t>
            </w:r>
          </w:p>
          <w:p w14:paraId="795AC9ED" w14:textId="2B0179A4" w:rsidR="00B63F9A" w:rsidRDefault="00B63F9A" w:rsidP="003B12C8">
            <w:r>
              <w:t xml:space="preserve">Fashion Video </w:t>
            </w:r>
          </w:p>
          <w:p w14:paraId="222EB016" w14:textId="77777777" w:rsidR="00B63F9A" w:rsidRDefault="00B63F9A" w:rsidP="003B12C8">
            <w:r>
              <w:t xml:space="preserve">Medieval Studies </w:t>
            </w:r>
          </w:p>
          <w:p w14:paraId="606E2C83" w14:textId="4DA731CF" w:rsidR="00B63F9A" w:rsidRPr="002945DD" w:rsidRDefault="00B63F9A" w:rsidP="003B12C8">
            <w:r>
              <w:t>Theology</w:t>
            </w:r>
          </w:p>
        </w:tc>
        <w:tc>
          <w:tcPr>
            <w:tcW w:w="1628" w:type="dxa"/>
            <w:vAlign w:val="center"/>
          </w:tcPr>
          <w:p w14:paraId="7DAE7567" w14:textId="28C58131" w:rsidR="00F34620" w:rsidRDefault="00F34620" w:rsidP="003B12C8">
            <w:pPr>
              <w:jc w:val="center"/>
            </w:pPr>
          </w:p>
        </w:tc>
        <w:tc>
          <w:tcPr>
            <w:tcW w:w="1432" w:type="dxa"/>
            <w:vAlign w:val="center"/>
          </w:tcPr>
          <w:p w14:paraId="28DAEC20" w14:textId="74260651" w:rsidR="00F34620" w:rsidRDefault="00B63F9A" w:rsidP="003B12C8">
            <w:pPr>
              <w:jc w:val="center"/>
            </w:pPr>
            <w:r>
              <w:t>V</w:t>
            </w:r>
          </w:p>
        </w:tc>
        <w:tc>
          <w:tcPr>
            <w:tcW w:w="1980" w:type="dxa"/>
            <w:vAlign w:val="center"/>
          </w:tcPr>
          <w:p w14:paraId="71A15D44" w14:textId="475C3F31" w:rsidR="00F34620" w:rsidRDefault="00F34620" w:rsidP="003B12C8"/>
        </w:tc>
      </w:tr>
      <w:tr w:rsidR="00125C85" w14:paraId="0F450D91" w14:textId="77777777" w:rsidTr="003B12C8">
        <w:tc>
          <w:tcPr>
            <w:tcW w:w="1975" w:type="dxa"/>
            <w:vAlign w:val="center"/>
          </w:tcPr>
          <w:p w14:paraId="0CAACD77" w14:textId="36B7C532" w:rsidR="00125C85" w:rsidRDefault="00125C85" w:rsidP="00F34620">
            <w:pPr>
              <w:rPr>
                <w:rFonts w:ascii="Calibri" w:hAnsi="Calibri" w:cs="Calibri"/>
                <w:color w:val="000000"/>
              </w:rPr>
            </w:pPr>
            <w:r>
              <w:rPr>
                <w:rFonts w:ascii="Calibri" w:hAnsi="Calibri" w:cs="Calibri"/>
                <w:color w:val="000000"/>
              </w:rPr>
              <w:t>Bloomsbury</w:t>
            </w:r>
          </w:p>
        </w:tc>
        <w:tc>
          <w:tcPr>
            <w:tcW w:w="3330" w:type="dxa"/>
            <w:vAlign w:val="center"/>
          </w:tcPr>
          <w:p w14:paraId="0F9914D1" w14:textId="3AD285D4" w:rsidR="00125C85" w:rsidRDefault="00125C85" w:rsidP="003B12C8">
            <w:r>
              <w:t xml:space="preserve">Multiple collections (13) </w:t>
            </w:r>
          </w:p>
        </w:tc>
        <w:tc>
          <w:tcPr>
            <w:tcW w:w="1628" w:type="dxa"/>
            <w:vAlign w:val="center"/>
          </w:tcPr>
          <w:p w14:paraId="7EC04D72" w14:textId="658E9AE9" w:rsidR="00125C85" w:rsidRDefault="00125C85" w:rsidP="003B12C8">
            <w:pPr>
              <w:jc w:val="center"/>
            </w:pPr>
            <w:r>
              <w:t>V</w:t>
            </w:r>
          </w:p>
        </w:tc>
        <w:tc>
          <w:tcPr>
            <w:tcW w:w="1432" w:type="dxa"/>
            <w:vAlign w:val="center"/>
          </w:tcPr>
          <w:p w14:paraId="3267FF1B" w14:textId="77777777" w:rsidR="00125C85" w:rsidRDefault="00125C85" w:rsidP="003B12C8">
            <w:pPr>
              <w:jc w:val="center"/>
            </w:pPr>
          </w:p>
        </w:tc>
        <w:tc>
          <w:tcPr>
            <w:tcW w:w="1980" w:type="dxa"/>
            <w:vAlign w:val="center"/>
          </w:tcPr>
          <w:p w14:paraId="5AB28FD7" w14:textId="77777777" w:rsidR="00125C85" w:rsidRDefault="00125C85" w:rsidP="003B12C8"/>
        </w:tc>
      </w:tr>
      <w:tr w:rsidR="00F34620" w14:paraId="0E58F654" w14:textId="77777777" w:rsidTr="003B12C8">
        <w:tc>
          <w:tcPr>
            <w:tcW w:w="1975" w:type="dxa"/>
            <w:vAlign w:val="center"/>
          </w:tcPr>
          <w:p w14:paraId="7AB61B20" w14:textId="49F90A04" w:rsidR="00F34620" w:rsidRDefault="00B63F9A" w:rsidP="00F34620">
            <w:pPr>
              <w:rPr>
                <w:rFonts w:ascii="Calibri" w:hAnsi="Calibri" w:cs="Calibri"/>
                <w:color w:val="000000"/>
              </w:rPr>
            </w:pPr>
            <w:r>
              <w:rPr>
                <w:rFonts w:ascii="Calibri" w:hAnsi="Calibri" w:cs="Calibri"/>
                <w:color w:val="000000"/>
              </w:rPr>
              <w:t>Sabinet</w:t>
            </w:r>
          </w:p>
        </w:tc>
        <w:tc>
          <w:tcPr>
            <w:tcW w:w="3330" w:type="dxa"/>
            <w:vAlign w:val="center"/>
          </w:tcPr>
          <w:p w14:paraId="373B8A0B" w14:textId="6167A898" w:rsidR="00F34620" w:rsidRPr="002945DD" w:rsidRDefault="00F34620" w:rsidP="00F34620"/>
        </w:tc>
        <w:tc>
          <w:tcPr>
            <w:tcW w:w="1628" w:type="dxa"/>
            <w:vAlign w:val="center"/>
          </w:tcPr>
          <w:p w14:paraId="022BA5BC" w14:textId="7005A0BB" w:rsidR="00F34620" w:rsidRDefault="00F34620" w:rsidP="00F34620">
            <w:pPr>
              <w:jc w:val="center"/>
            </w:pPr>
          </w:p>
        </w:tc>
        <w:tc>
          <w:tcPr>
            <w:tcW w:w="1432" w:type="dxa"/>
            <w:vAlign w:val="center"/>
          </w:tcPr>
          <w:p w14:paraId="5F81D9B0" w14:textId="395D2C43" w:rsidR="00F34620" w:rsidRDefault="00B63F9A" w:rsidP="00F34620">
            <w:pPr>
              <w:jc w:val="center"/>
            </w:pPr>
            <w:r>
              <w:t>V</w:t>
            </w:r>
          </w:p>
        </w:tc>
        <w:tc>
          <w:tcPr>
            <w:tcW w:w="1980" w:type="dxa"/>
            <w:vAlign w:val="center"/>
          </w:tcPr>
          <w:p w14:paraId="13891E38" w14:textId="6C52A3A7" w:rsidR="00F34620" w:rsidRDefault="00B63F9A" w:rsidP="00F34620">
            <w:r>
              <w:t xml:space="preserve">Full refresh of data </w:t>
            </w:r>
          </w:p>
        </w:tc>
      </w:tr>
      <w:tr w:rsidR="00955E64" w14:paraId="41214B03" w14:textId="77777777" w:rsidTr="003B12C8">
        <w:tc>
          <w:tcPr>
            <w:tcW w:w="1975" w:type="dxa"/>
            <w:vAlign w:val="center"/>
          </w:tcPr>
          <w:p w14:paraId="4EF2058F" w14:textId="7307FC7A" w:rsidR="00955E64" w:rsidRDefault="00B63F9A" w:rsidP="00F34620">
            <w:pPr>
              <w:rPr>
                <w:rFonts w:ascii="Calibri" w:hAnsi="Calibri" w:cs="Calibri"/>
                <w:color w:val="000000"/>
              </w:rPr>
            </w:pPr>
            <w:r w:rsidRPr="00B63F9A">
              <w:rPr>
                <w:rFonts w:ascii="Calibri" w:hAnsi="Calibri" w:cs="Calibri"/>
                <w:color w:val="000000"/>
              </w:rPr>
              <w:t>BGSU</w:t>
            </w:r>
          </w:p>
        </w:tc>
        <w:tc>
          <w:tcPr>
            <w:tcW w:w="3330" w:type="dxa"/>
            <w:vAlign w:val="center"/>
          </w:tcPr>
          <w:p w14:paraId="35CC0F20" w14:textId="38466AED" w:rsidR="00955E64" w:rsidRPr="002945DD" w:rsidRDefault="00B63F9A" w:rsidP="00F34620">
            <w:r>
              <w:t xml:space="preserve">Institutional Repository </w:t>
            </w:r>
          </w:p>
        </w:tc>
        <w:tc>
          <w:tcPr>
            <w:tcW w:w="1628" w:type="dxa"/>
            <w:vAlign w:val="center"/>
          </w:tcPr>
          <w:p w14:paraId="706CFFBC" w14:textId="77777777" w:rsidR="00955E64" w:rsidRDefault="00955E64" w:rsidP="00F34620">
            <w:pPr>
              <w:jc w:val="center"/>
            </w:pPr>
          </w:p>
        </w:tc>
        <w:tc>
          <w:tcPr>
            <w:tcW w:w="1432" w:type="dxa"/>
            <w:vAlign w:val="center"/>
          </w:tcPr>
          <w:p w14:paraId="209BC995" w14:textId="146DD739" w:rsidR="00955E64" w:rsidRDefault="00B63F9A" w:rsidP="00F34620">
            <w:pPr>
              <w:jc w:val="center"/>
            </w:pPr>
            <w:r>
              <w:t>V</w:t>
            </w:r>
          </w:p>
        </w:tc>
        <w:tc>
          <w:tcPr>
            <w:tcW w:w="1980" w:type="dxa"/>
            <w:vAlign w:val="center"/>
          </w:tcPr>
          <w:p w14:paraId="13911D64" w14:textId="3028F1CD" w:rsidR="00955E64" w:rsidRDefault="00955E64" w:rsidP="00F34620"/>
        </w:tc>
      </w:tr>
      <w:tr w:rsidR="00955E64" w14:paraId="3CA489FB" w14:textId="77777777" w:rsidTr="003B12C8">
        <w:tc>
          <w:tcPr>
            <w:tcW w:w="1975" w:type="dxa"/>
            <w:vAlign w:val="center"/>
          </w:tcPr>
          <w:p w14:paraId="3A458796" w14:textId="11FFFD41" w:rsidR="00955E64" w:rsidRDefault="00B63F9A" w:rsidP="00F34620">
            <w:pPr>
              <w:rPr>
                <w:rFonts w:ascii="Calibri" w:hAnsi="Calibri" w:cs="Calibri"/>
                <w:color w:val="000000"/>
              </w:rPr>
            </w:pPr>
            <w:r>
              <w:rPr>
                <w:rFonts w:ascii="Calibri" w:hAnsi="Calibri" w:cs="Calibri"/>
                <w:color w:val="000000"/>
              </w:rPr>
              <w:t xml:space="preserve">ABC-Clio </w:t>
            </w:r>
          </w:p>
        </w:tc>
        <w:tc>
          <w:tcPr>
            <w:tcW w:w="3330" w:type="dxa"/>
            <w:vAlign w:val="center"/>
          </w:tcPr>
          <w:p w14:paraId="186F4628" w14:textId="6F987FE3" w:rsidR="00955E64" w:rsidRPr="002945DD" w:rsidRDefault="00B63F9A" w:rsidP="00F34620">
            <w:r>
              <w:t>World Folklore and Folklife</w:t>
            </w:r>
          </w:p>
        </w:tc>
        <w:tc>
          <w:tcPr>
            <w:tcW w:w="1628" w:type="dxa"/>
            <w:vAlign w:val="center"/>
          </w:tcPr>
          <w:p w14:paraId="7FE33D00" w14:textId="77777777" w:rsidR="00955E64" w:rsidRDefault="00955E64" w:rsidP="00F34620">
            <w:pPr>
              <w:jc w:val="center"/>
            </w:pPr>
          </w:p>
        </w:tc>
        <w:tc>
          <w:tcPr>
            <w:tcW w:w="1432" w:type="dxa"/>
            <w:vAlign w:val="center"/>
          </w:tcPr>
          <w:p w14:paraId="4BA82C59" w14:textId="486F15D6" w:rsidR="00955E64" w:rsidRDefault="00B63F9A" w:rsidP="00F34620">
            <w:pPr>
              <w:jc w:val="center"/>
            </w:pPr>
            <w:r>
              <w:t>V</w:t>
            </w:r>
          </w:p>
        </w:tc>
        <w:tc>
          <w:tcPr>
            <w:tcW w:w="1980" w:type="dxa"/>
            <w:vAlign w:val="center"/>
          </w:tcPr>
          <w:p w14:paraId="0DBA3C36" w14:textId="77777777" w:rsidR="00955E64" w:rsidRDefault="00955E64" w:rsidP="00F34620"/>
        </w:tc>
      </w:tr>
      <w:tr w:rsidR="00AD0BFA" w14:paraId="52350BB3" w14:textId="77777777" w:rsidTr="003B12C8">
        <w:tc>
          <w:tcPr>
            <w:tcW w:w="1975" w:type="dxa"/>
            <w:vAlign w:val="center"/>
          </w:tcPr>
          <w:p w14:paraId="2144D29F" w14:textId="262DE5F4" w:rsidR="00AD0BFA" w:rsidRDefault="00B63F9A" w:rsidP="00AD0BFA">
            <w:pPr>
              <w:rPr>
                <w:rFonts w:ascii="Calibri" w:hAnsi="Calibri" w:cs="Calibri"/>
                <w:color w:val="000000"/>
              </w:rPr>
            </w:pPr>
            <w:r>
              <w:rPr>
                <w:rFonts w:ascii="Calibri" w:hAnsi="Calibri" w:cs="Calibri"/>
                <w:color w:val="000000"/>
              </w:rPr>
              <w:t xml:space="preserve">ASTM </w:t>
            </w:r>
          </w:p>
        </w:tc>
        <w:tc>
          <w:tcPr>
            <w:tcW w:w="3330" w:type="dxa"/>
            <w:vAlign w:val="center"/>
          </w:tcPr>
          <w:p w14:paraId="6850F294" w14:textId="70383A9F" w:rsidR="00AD0BFA" w:rsidRPr="002945DD" w:rsidRDefault="00B63F9A" w:rsidP="00AD0BFA">
            <w:r>
              <w:t>Books content</w:t>
            </w:r>
          </w:p>
        </w:tc>
        <w:tc>
          <w:tcPr>
            <w:tcW w:w="1628" w:type="dxa"/>
            <w:vAlign w:val="center"/>
          </w:tcPr>
          <w:p w14:paraId="04770949" w14:textId="77777777" w:rsidR="00AD0BFA" w:rsidRDefault="00AD0BFA" w:rsidP="00AD0BFA">
            <w:pPr>
              <w:jc w:val="center"/>
            </w:pPr>
          </w:p>
        </w:tc>
        <w:tc>
          <w:tcPr>
            <w:tcW w:w="1432" w:type="dxa"/>
            <w:vAlign w:val="center"/>
          </w:tcPr>
          <w:p w14:paraId="65ABF01D" w14:textId="382DD2B5" w:rsidR="00AD0BFA" w:rsidRDefault="00B63F9A" w:rsidP="00AD0BFA">
            <w:pPr>
              <w:jc w:val="center"/>
            </w:pPr>
            <w:r>
              <w:t>V</w:t>
            </w:r>
          </w:p>
        </w:tc>
        <w:tc>
          <w:tcPr>
            <w:tcW w:w="1980" w:type="dxa"/>
            <w:vAlign w:val="center"/>
          </w:tcPr>
          <w:p w14:paraId="10276407" w14:textId="77777777" w:rsidR="00AD0BFA" w:rsidRDefault="00AD0BFA" w:rsidP="00AD0BFA"/>
        </w:tc>
      </w:tr>
      <w:tr w:rsidR="00B63F9A" w14:paraId="4295E555" w14:textId="77777777" w:rsidTr="003B12C8">
        <w:tc>
          <w:tcPr>
            <w:tcW w:w="1975" w:type="dxa"/>
            <w:vAlign w:val="center"/>
          </w:tcPr>
          <w:p w14:paraId="3E24945F" w14:textId="17032DED" w:rsidR="00B63F9A" w:rsidRDefault="00B63F9A" w:rsidP="00B63F9A">
            <w:pPr>
              <w:rPr>
                <w:rFonts w:ascii="Calibri" w:hAnsi="Calibri" w:cs="Calibri"/>
                <w:color w:val="000000"/>
              </w:rPr>
            </w:pPr>
            <w:proofErr w:type="spellStart"/>
            <w:r w:rsidRPr="00B63F9A">
              <w:rPr>
                <w:rFonts w:ascii="Calibri" w:hAnsi="Calibri" w:cs="Calibri"/>
                <w:color w:val="000000"/>
              </w:rPr>
              <w:t>Digitale</w:t>
            </w:r>
            <w:proofErr w:type="spellEnd"/>
            <w:r w:rsidRPr="00B63F9A">
              <w:rPr>
                <w:rFonts w:ascii="Calibri" w:hAnsi="Calibri" w:cs="Calibri"/>
                <w:color w:val="000000"/>
              </w:rPr>
              <w:t xml:space="preserve"> </w:t>
            </w:r>
            <w:proofErr w:type="spellStart"/>
            <w:r w:rsidRPr="00B63F9A">
              <w:rPr>
                <w:rFonts w:ascii="Calibri" w:hAnsi="Calibri" w:cs="Calibri"/>
                <w:color w:val="000000"/>
              </w:rPr>
              <w:t>Sammlungen</w:t>
            </w:r>
            <w:proofErr w:type="spellEnd"/>
          </w:p>
        </w:tc>
        <w:tc>
          <w:tcPr>
            <w:tcW w:w="3330" w:type="dxa"/>
            <w:vAlign w:val="center"/>
          </w:tcPr>
          <w:p w14:paraId="1C5CE7FD" w14:textId="24F2A023" w:rsidR="00B63F9A" w:rsidRDefault="00B63F9A" w:rsidP="00B63F9A">
            <w:r>
              <w:t xml:space="preserve">Institutional Repository </w:t>
            </w:r>
          </w:p>
        </w:tc>
        <w:tc>
          <w:tcPr>
            <w:tcW w:w="1628" w:type="dxa"/>
            <w:vAlign w:val="center"/>
          </w:tcPr>
          <w:p w14:paraId="333CA8D5" w14:textId="2B2E185F" w:rsidR="00B63F9A" w:rsidRDefault="00B63F9A" w:rsidP="00B63F9A">
            <w:pPr>
              <w:jc w:val="center"/>
            </w:pPr>
          </w:p>
        </w:tc>
        <w:tc>
          <w:tcPr>
            <w:tcW w:w="1432" w:type="dxa"/>
            <w:vAlign w:val="center"/>
          </w:tcPr>
          <w:p w14:paraId="3925B7A4" w14:textId="36C61BFC" w:rsidR="00B63F9A" w:rsidRDefault="00B63F9A" w:rsidP="00B63F9A">
            <w:pPr>
              <w:jc w:val="center"/>
            </w:pPr>
            <w:r>
              <w:t>V</w:t>
            </w:r>
          </w:p>
        </w:tc>
        <w:tc>
          <w:tcPr>
            <w:tcW w:w="1980" w:type="dxa"/>
            <w:vAlign w:val="center"/>
          </w:tcPr>
          <w:p w14:paraId="7702D442" w14:textId="12197B9E" w:rsidR="00B63F9A" w:rsidRDefault="00B63F9A" w:rsidP="00B63F9A"/>
        </w:tc>
      </w:tr>
      <w:tr w:rsidR="00B63F9A" w14:paraId="53802E09" w14:textId="77777777" w:rsidTr="003B12C8">
        <w:tc>
          <w:tcPr>
            <w:tcW w:w="1975" w:type="dxa"/>
            <w:vAlign w:val="center"/>
          </w:tcPr>
          <w:p w14:paraId="23B7358A" w14:textId="1C41D2B7" w:rsidR="00B63F9A" w:rsidRPr="009204C4" w:rsidRDefault="00B63F9A" w:rsidP="00B63F9A">
            <w:pPr>
              <w:rPr>
                <w:rFonts w:ascii="Calibri" w:hAnsi="Calibri" w:cs="Calibri"/>
              </w:rPr>
            </w:pPr>
            <w:r>
              <w:rPr>
                <w:rFonts w:ascii="Calibri" w:hAnsi="Calibri" w:cs="Calibri"/>
              </w:rPr>
              <w:lastRenderedPageBreak/>
              <w:t>IBISWorld</w:t>
            </w:r>
          </w:p>
        </w:tc>
        <w:tc>
          <w:tcPr>
            <w:tcW w:w="3330" w:type="dxa"/>
            <w:vAlign w:val="center"/>
          </w:tcPr>
          <w:p w14:paraId="468DADC6" w14:textId="6B411324" w:rsidR="00B63F9A" w:rsidRDefault="00B63F9A" w:rsidP="00B63F9A"/>
        </w:tc>
        <w:tc>
          <w:tcPr>
            <w:tcW w:w="1628" w:type="dxa"/>
            <w:vAlign w:val="center"/>
          </w:tcPr>
          <w:p w14:paraId="44505913" w14:textId="77777777" w:rsidR="00B63F9A" w:rsidRDefault="00B63F9A" w:rsidP="00B63F9A">
            <w:pPr>
              <w:jc w:val="center"/>
            </w:pPr>
          </w:p>
        </w:tc>
        <w:tc>
          <w:tcPr>
            <w:tcW w:w="1432" w:type="dxa"/>
            <w:vAlign w:val="center"/>
          </w:tcPr>
          <w:p w14:paraId="59760711" w14:textId="243D7D24" w:rsidR="00B63F9A" w:rsidRDefault="00B63F9A" w:rsidP="00B63F9A">
            <w:pPr>
              <w:jc w:val="center"/>
            </w:pPr>
            <w:r>
              <w:t>V</w:t>
            </w:r>
          </w:p>
        </w:tc>
        <w:tc>
          <w:tcPr>
            <w:tcW w:w="1980" w:type="dxa"/>
            <w:vAlign w:val="center"/>
          </w:tcPr>
          <w:p w14:paraId="1FF9F6DD" w14:textId="35BCAE58" w:rsidR="00B63F9A" w:rsidRDefault="00B63F9A" w:rsidP="00B63F9A"/>
        </w:tc>
      </w:tr>
      <w:tr w:rsidR="00B63F9A" w14:paraId="543B3596" w14:textId="77777777" w:rsidTr="003B12C8">
        <w:tc>
          <w:tcPr>
            <w:tcW w:w="1975" w:type="dxa"/>
            <w:vAlign w:val="center"/>
          </w:tcPr>
          <w:p w14:paraId="63BEE000" w14:textId="33986321" w:rsidR="00B63F9A" w:rsidRDefault="00B63F9A" w:rsidP="00B63F9A">
            <w:pPr>
              <w:rPr>
                <w:rFonts w:ascii="Calibri" w:hAnsi="Calibri" w:cs="Calibri"/>
              </w:rPr>
            </w:pPr>
            <w:r>
              <w:rPr>
                <w:rFonts w:ascii="Calibri" w:hAnsi="Calibri" w:cs="Calibri"/>
              </w:rPr>
              <w:t>Surrey Overdrive</w:t>
            </w:r>
          </w:p>
        </w:tc>
        <w:tc>
          <w:tcPr>
            <w:tcW w:w="3330" w:type="dxa"/>
            <w:vAlign w:val="center"/>
          </w:tcPr>
          <w:p w14:paraId="2CA44681" w14:textId="2D1753F9" w:rsidR="00B63F9A" w:rsidRDefault="00B63F9A" w:rsidP="00B63F9A">
            <w:r>
              <w:t xml:space="preserve">Institutional Repository </w:t>
            </w:r>
          </w:p>
        </w:tc>
        <w:tc>
          <w:tcPr>
            <w:tcW w:w="1628" w:type="dxa"/>
            <w:vAlign w:val="center"/>
          </w:tcPr>
          <w:p w14:paraId="353188EC" w14:textId="21E988EF" w:rsidR="00B63F9A" w:rsidRDefault="00B63F9A" w:rsidP="00B63F9A">
            <w:pPr>
              <w:jc w:val="center"/>
            </w:pPr>
          </w:p>
        </w:tc>
        <w:tc>
          <w:tcPr>
            <w:tcW w:w="1432" w:type="dxa"/>
            <w:vAlign w:val="center"/>
          </w:tcPr>
          <w:p w14:paraId="485E9934" w14:textId="25A4BDA5" w:rsidR="00B63F9A" w:rsidRDefault="00B63F9A" w:rsidP="00B63F9A">
            <w:pPr>
              <w:jc w:val="center"/>
            </w:pPr>
            <w:r>
              <w:t>V</w:t>
            </w:r>
          </w:p>
        </w:tc>
        <w:tc>
          <w:tcPr>
            <w:tcW w:w="1980" w:type="dxa"/>
            <w:vAlign w:val="center"/>
          </w:tcPr>
          <w:p w14:paraId="70284710" w14:textId="227923DD" w:rsidR="00B63F9A" w:rsidRDefault="00B63F9A" w:rsidP="00B63F9A"/>
        </w:tc>
      </w:tr>
      <w:tr w:rsidR="00B63F9A" w14:paraId="554F879D" w14:textId="77777777" w:rsidTr="003B12C8">
        <w:tc>
          <w:tcPr>
            <w:tcW w:w="1975" w:type="dxa"/>
            <w:vAlign w:val="center"/>
          </w:tcPr>
          <w:p w14:paraId="3B2F8965" w14:textId="49370AD2" w:rsidR="00B63F9A" w:rsidRDefault="00B63F9A" w:rsidP="00B63F9A">
            <w:pPr>
              <w:rPr>
                <w:rFonts w:ascii="Calibri" w:hAnsi="Calibri" w:cs="Calibri"/>
              </w:rPr>
            </w:pPr>
            <w:r w:rsidRPr="00B63F9A">
              <w:rPr>
                <w:rFonts w:ascii="Calibri" w:hAnsi="Calibri" w:cs="Calibri"/>
              </w:rPr>
              <w:t>Canadian Pharmacists Association</w:t>
            </w:r>
          </w:p>
        </w:tc>
        <w:tc>
          <w:tcPr>
            <w:tcW w:w="3330" w:type="dxa"/>
            <w:vAlign w:val="center"/>
          </w:tcPr>
          <w:p w14:paraId="29B6AB94" w14:textId="2345915D" w:rsidR="00B63F9A" w:rsidRPr="00AD0BFA" w:rsidRDefault="00B63F9A" w:rsidP="00B63F9A"/>
        </w:tc>
        <w:tc>
          <w:tcPr>
            <w:tcW w:w="1628" w:type="dxa"/>
            <w:vAlign w:val="center"/>
          </w:tcPr>
          <w:p w14:paraId="5FE115F8" w14:textId="7052604E" w:rsidR="00B63F9A" w:rsidRDefault="00B63F9A" w:rsidP="00B63F9A">
            <w:pPr>
              <w:jc w:val="center"/>
            </w:pPr>
          </w:p>
        </w:tc>
        <w:tc>
          <w:tcPr>
            <w:tcW w:w="1432" w:type="dxa"/>
            <w:vAlign w:val="center"/>
          </w:tcPr>
          <w:p w14:paraId="5914B6B1" w14:textId="5FA6E870" w:rsidR="00B63F9A" w:rsidRDefault="00B63F9A" w:rsidP="00B63F9A">
            <w:pPr>
              <w:jc w:val="center"/>
            </w:pPr>
            <w:r>
              <w:t>V</w:t>
            </w:r>
          </w:p>
        </w:tc>
        <w:tc>
          <w:tcPr>
            <w:tcW w:w="1980" w:type="dxa"/>
            <w:vAlign w:val="center"/>
          </w:tcPr>
          <w:p w14:paraId="0AB177D9" w14:textId="77777777" w:rsidR="00B63F9A" w:rsidRDefault="00B63F9A" w:rsidP="00B63F9A"/>
        </w:tc>
      </w:tr>
      <w:tr w:rsidR="00B63F9A" w14:paraId="37CB3FC0" w14:textId="77777777" w:rsidTr="003B12C8">
        <w:tc>
          <w:tcPr>
            <w:tcW w:w="1975" w:type="dxa"/>
            <w:vAlign w:val="center"/>
          </w:tcPr>
          <w:p w14:paraId="3547E4D2" w14:textId="32872384" w:rsidR="00B63F9A" w:rsidRDefault="007F566D" w:rsidP="00B63F9A">
            <w:pPr>
              <w:rPr>
                <w:rFonts w:ascii="Calibri" w:hAnsi="Calibri" w:cs="Calibri"/>
              </w:rPr>
            </w:pPr>
            <w:r w:rsidRPr="007F566D">
              <w:rPr>
                <w:rFonts w:ascii="Calibri" w:hAnsi="Calibri" w:cs="Calibri"/>
              </w:rPr>
              <w:t>London Business School</w:t>
            </w:r>
          </w:p>
        </w:tc>
        <w:tc>
          <w:tcPr>
            <w:tcW w:w="3330" w:type="dxa"/>
            <w:vAlign w:val="center"/>
          </w:tcPr>
          <w:p w14:paraId="2222120D" w14:textId="25599843" w:rsidR="007F566D" w:rsidRPr="00AD0BFA" w:rsidRDefault="007F566D" w:rsidP="007F566D">
            <w:r>
              <w:t>Institutional Repository (</w:t>
            </w:r>
            <w:r w:rsidRPr="007F566D">
              <w:t>LBS Research Online</w:t>
            </w:r>
            <w:r>
              <w:t>)</w:t>
            </w:r>
          </w:p>
        </w:tc>
        <w:tc>
          <w:tcPr>
            <w:tcW w:w="1628" w:type="dxa"/>
            <w:vAlign w:val="center"/>
          </w:tcPr>
          <w:p w14:paraId="101B3453" w14:textId="292B37C4" w:rsidR="00B63F9A" w:rsidRDefault="00B63F9A" w:rsidP="00B63F9A">
            <w:pPr>
              <w:jc w:val="center"/>
            </w:pPr>
          </w:p>
        </w:tc>
        <w:tc>
          <w:tcPr>
            <w:tcW w:w="1432" w:type="dxa"/>
            <w:vAlign w:val="center"/>
          </w:tcPr>
          <w:p w14:paraId="7EB2FF15" w14:textId="478D1E2F" w:rsidR="00B63F9A" w:rsidRDefault="007F566D" w:rsidP="00B63F9A">
            <w:pPr>
              <w:jc w:val="center"/>
            </w:pPr>
            <w:r>
              <w:t>V</w:t>
            </w:r>
          </w:p>
        </w:tc>
        <w:tc>
          <w:tcPr>
            <w:tcW w:w="1980" w:type="dxa"/>
            <w:vAlign w:val="center"/>
          </w:tcPr>
          <w:p w14:paraId="33F0CBE8" w14:textId="77777777" w:rsidR="00B63F9A" w:rsidRDefault="00B63F9A" w:rsidP="00B63F9A"/>
        </w:tc>
      </w:tr>
      <w:tr w:rsidR="00B63F9A" w14:paraId="2634BC50" w14:textId="77777777" w:rsidTr="003B12C8">
        <w:tc>
          <w:tcPr>
            <w:tcW w:w="1975" w:type="dxa"/>
            <w:vAlign w:val="center"/>
          </w:tcPr>
          <w:p w14:paraId="796A9FC1" w14:textId="57FCBA25" w:rsidR="00B63F9A" w:rsidRDefault="007F566D" w:rsidP="00B63F9A">
            <w:pPr>
              <w:rPr>
                <w:rFonts w:ascii="Calibri" w:hAnsi="Calibri" w:cs="Calibri"/>
              </w:rPr>
            </w:pPr>
            <w:r w:rsidRPr="007F566D">
              <w:rPr>
                <w:rFonts w:ascii="Calibri" w:hAnsi="Calibri" w:cs="Calibri"/>
              </w:rPr>
              <w:t>Wiley Online Library</w:t>
            </w:r>
          </w:p>
        </w:tc>
        <w:tc>
          <w:tcPr>
            <w:tcW w:w="3330" w:type="dxa"/>
            <w:vAlign w:val="center"/>
          </w:tcPr>
          <w:p w14:paraId="0A7F9505" w14:textId="2C44A520" w:rsidR="00B63F9A" w:rsidRPr="00AD0BFA" w:rsidRDefault="007F566D" w:rsidP="00B63F9A">
            <w:r>
              <w:t>Multiple collections (</w:t>
            </w:r>
            <w:r w:rsidR="00B6060A">
              <w:t>9</w:t>
            </w:r>
            <w:r>
              <w:t>)</w:t>
            </w:r>
          </w:p>
        </w:tc>
        <w:tc>
          <w:tcPr>
            <w:tcW w:w="1628" w:type="dxa"/>
            <w:vAlign w:val="center"/>
          </w:tcPr>
          <w:p w14:paraId="5B84957D" w14:textId="3031BF0B" w:rsidR="00B63F9A" w:rsidRDefault="007F566D" w:rsidP="00B63F9A">
            <w:pPr>
              <w:jc w:val="center"/>
            </w:pPr>
            <w:r>
              <w:t>V</w:t>
            </w:r>
          </w:p>
        </w:tc>
        <w:tc>
          <w:tcPr>
            <w:tcW w:w="1432" w:type="dxa"/>
            <w:vAlign w:val="center"/>
          </w:tcPr>
          <w:p w14:paraId="0867D0DA" w14:textId="77777777" w:rsidR="00B63F9A" w:rsidRDefault="00B63F9A" w:rsidP="00B63F9A">
            <w:pPr>
              <w:jc w:val="center"/>
            </w:pPr>
          </w:p>
        </w:tc>
        <w:tc>
          <w:tcPr>
            <w:tcW w:w="1980" w:type="dxa"/>
            <w:vAlign w:val="center"/>
          </w:tcPr>
          <w:p w14:paraId="11C3F904" w14:textId="1C618A1D" w:rsidR="00B63F9A" w:rsidRDefault="00B63F9A" w:rsidP="00B63F9A"/>
        </w:tc>
      </w:tr>
      <w:tr w:rsidR="00B63F9A" w14:paraId="0E774048" w14:textId="77777777" w:rsidTr="003B12C8">
        <w:tc>
          <w:tcPr>
            <w:tcW w:w="1975" w:type="dxa"/>
            <w:vAlign w:val="center"/>
          </w:tcPr>
          <w:p w14:paraId="1E1D0CE8" w14:textId="0A3037D2" w:rsidR="00B63F9A" w:rsidRDefault="007F566D" w:rsidP="00B63F9A">
            <w:pPr>
              <w:rPr>
                <w:rFonts w:ascii="Calibri" w:hAnsi="Calibri" w:cs="Calibri"/>
              </w:rPr>
            </w:pPr>
            <w:r w:rsidRPr="007F566D">
              <w:rPr>
                <w:rFonts w:ascii="Calibri" w:hAnsi="Calibri" w:cs="Calibri"/>
              </w:rPr>
              <w:t>Morgan &amp; Claypool</w:t>
            </w:r>
          </w:p>
        </w:tc>
        <w:tc>
          <w:tcPr>
            <w:tcW w:w="3330" w:type="dxa"/>
            <w:vAlign w:val="center"/>
          </w:tcPr>
          <w:p w14:paraId="524E091A" w14:textId="77777777" w:rsidR="007F566D" w:rsidRDefault="007F566D" w:rsidP="007F566D">
            <w:r w:rsidRPr="007F566D">
              <w:t>Computer &amp; Information Science Collection</w:t>
            </w:r>
            <w:r>
              <w:t xml:space="preserve"> Ten, Eleven, Twelve </w:t>
            </w:r>
          </w:p>
          <w:p w14:paraId="5B84DEB3" w14:textId="3E8ECEBD" w:rsidR="00B6060A" w:rsidRPr="00AD0BFA" w:rsidRDefault="00B6060A" w:rsidP="007F566D">
            <w:r w:rsidRPr="00B6060A">
              <w:t>Synthesis Collection Nine</w:t>
            </w:r>
          </w:p>
        </w:tc>
        <w:tc>
          <w:tcPr>
            <w:tcW w:w="1628" w:type="dxa"/>
            <w:vAlign w:val="center"/>
          </w:tcPr>
          <w:p w14:paraId="13604F46" w14:textId="46A5C26E" w:rsidR="00B63F9A" w:rsidRDefault="007F566D" w:rsidP="00B63F9A">
            <w:pPr>
              <w:jc w:val="center"/>
            </w:pPr>
            <w:r>
              <w:t>V</w:t>
            </w:r>
          </w:p>
        </w:tc>
        <w:tc>
          <w:tcPr>
            <w:tcW w:w="1432" w:type="dxa"/>
            <w:vAlign w:val="center"/>
          </w:tcPr>
          <w:p w14:paraId="70CDE686" w14:textId="77777777" w:rsidR="00B63F9A" w:rsidRDefault="00B63F9A" w:rsidP="00B63F9A">
            <w:pPr>
              <w:jc w:val="center"/>
            </w:pPr>
          </w:p>
        </w:tc>
        <w:tc>
          <w:tcPr>
            <w:tcW w:w="1980" w:type="dxa"/>
            <w:vAlign w:val="center"/>
          </w:tcPr>
          <w:p w14:paraId="2611A86E" w14:textId="77777777" w:rsidR="00B63F9A" w:rsidRDefault="00B63F9A" w:rsidP="00B63F9A"/>
        </w:tc>
      </w:tr>
      <w:tr w:rsidR="00B63F9A" w14:paraId="765D220C" w14:textId="77777777" w:rsidTr="003B12C8">
        <w:tc>
          <w:tcPr>
            <w:tcW w:w="1975" w:type="dxa"/>
            <w:vAlign w:val="center"/>
          </w:tcPr>
          <w:p w14:paraId="3B430469" w14:textId="723F887D" w:rsidR="00B63F9A" w:rsidRDefault="007F566D" w:rsidP="00B63F9A">
            <w:pPr>
              <w:rPr>
                <w:rFonts w:ascii="Calibri" w:hAnsi="Calibri" w:cs="Calibri"/>
              </w:rPr>
            </w:pPr>
            <w:r>
              <w:rPr>
                <w:rFonts w:ascii="Calibri" w:hAnsi="Calibri" w:cs="Calibri"/>
              </w:rPr>
              <w:t>Preselect</w:t>
            </w:r>
          </w:p>
        </w:tc>
        <w:tc>
          <w:tcPr>
            <w:tcW w:w="3330" w:type="dxa"/>
            <w:vAlign w:val="center"/>
          </w:tcPr>
          <w:p w14:paraId="150CFE86" w14:textId="2446FEB9" w:rsidR="00B63F9A" w:rsidRPr="00AD0BFA" w:rsidRDefault="007F566D" w:rsidP="00B63F9A">
            <w:r w:rsidRPr="007F566D">
              <w:t>Campus Business Collection 2013</w:t>
            </w:r>
          </w:p>
        </w:tc>
        <w:tc>
          <w:tcPr>
            <w:tcW w:w="1628" w:type="dxa"/>
            <w:vAlign w:val="center"/>
          </w:tcPr>
          <w:p w14:paraId="2E8D0E02" w14:textId="52A6D513" w:rsidR="00B63F9A" w:rsidRDefault="007F566D" w:rsidP="00B63F9A">
            <w:pPr>
              <w:jc w:val="center"/>
            </w:pPr>
            <w:r>
              <w:t>V</w:t>
            </w:r>
          </w:p>
        </w:tc>
        <w:tc>
          <w:tcPr>
            <w:tcW w:w="1432" w:type="dxa"/>
            <w:vAlign w:val="center"/>
          </w:tcPr>
          <w:p w14:paraId="745F2675" w14:textId="77777777" w:rsidR="00B63F9A" w:rsidRDefault="00B63F9A" w:rsidP="00B63F9A">
            <w:pPr>
              <w:jc w:val="center"/>
            </w:pPr>
          </w:p>
        </w:tc>
        <w:tc>
          <w:tcPr>
            <w:tcW w:w="1980" w:type="dxa"/>
            <w:vAlign w:val="center"/>
          </w:tcPr>
          <w:p w14:paraId="01535E81" w14:textId="5FDEB3FD" w:rsidR="00B63F9A" w:rsidRDefault="007F566D" w:rsidP="00B63F9A">
            <w:r>
              <w:t xml:space="preserve"> </w:t>
            </w:r>
          </w:p>
        </w:tc>
      </w:tr>
      <w:tr w:rsidR="00B63F9A" w14:paraId="13F3C463" w14:textId="77777777" w:rsidTr="003B12C8">
        <w:tc>
          <w:tcPr>
            <w:tcW w:w="1975" w:type="dxa"/>
            <w:vAlign w:val="center"/>
          </w:tcPr>
          <w:p w14:paraId="7E890483" w14:textId="09E73E44" w:rsidR="00B63F9A" w:rsidRDefault="007F566D" w:rsidP="00B63F9A">
            <w:pPr>
              <w:rPr>
                <w:rFonts w:ascii="Calibri" w:hAnsi="Calibri" w:cs="Calibri"/>
              </w:rPr>
            </w:pPr>
            <w:proofErr w:type="spellStart"/>
            <w:r w:rsidRPr="007F566D">
              <w:rPr>
                <w:rFonts w:ascii="Calibri" w:hAnsi="Calibri" w:cs="Calibri"/>
              </w:rPr>
              <w:t>Bibsam</w:t>
            </w:r>
            <w:proofErr w:type="spellEnd"/>
          </w:p>
        </w:tc>
        <w:tc>
          <w:tcPr>
            <w:tcW w:w="3330" w:type="dxa"/>
            <w:vAlign w:val="center"/>
          </w:tcPr>
          <w:p w14:paraId="697F030F" w14:textId="07DE85C5" w:rsidR="00B63F9A" w:rsidRPr="00AD0BFA" w:rsidRDefault="007F566D" w:rsidP="00B63F9A">
            <w:r>
              <w:t>Multiple collections (16)</w:t>
            </w:r>
          </w:p>
        </w:tc>
        <w:tc>
          <w:tcPr>
            <w:tcW w:w="1628" w:type="dxa"/>
            <w:vAlign w:val="center"/>
          </w:tcPr>
          <w:p w14:paraId="48A53ED3" w14:textId="31130ADA" w:rsidR="00B63F9A" w:rsidRDefault="007F566D" w:rsidP="00B63F9A">
            <w:pPr>
              <w:jc w:val="center"/>
            </w:pPr>
            <w:r>
              <w:t>V</w:t>
            </w:r>
          </w:p>
        </w:tc>
        <w:tc>
          <w:tcPr>
            <w:tcW w:w="1432" w:type="dxa"/>
            <w:vAlign w:val="center"/>
          </w:tcPr>
          <w:p w14:paraId="0667FF78" w14:textId="77777777" w:rsidR="00B63F9A" w:rsidRDefault="00B63F9A" w:rsidP="00B63F9A">
            <w:pPr>
              <w:jc w:val="center"/>
            </w:pPr>
          </w:p>
        </w:tc>
        <w:tc>
          <w:tcPr>
            <w:tcW w:w="1980" w:type="dxa"/>
            <w:vAlign w:val="center"/>
          </w:tcPr>
          <w:p w14:paraId="5EC057C3" w14:textId="77777777" w:rsidR="00B63F9A" w:rsidRDefault="00B63F9A" w:rsidP="00B63F9A"/>
        </w:tc>
      </w:tr>
      <w:tr w:rsidR="00B63F9A" w14:paraId="3DF6F6A2" w14:textId="77777777" w:rsidTr="003B12C8">
        <w:tc>
          <w:tcPr>
            <w:tcW w:w="1975" w:type="dxa"/>
            <w:vAlign w:val="center"/>
          </w:tcPr>
          <w:p w14:paraId="2CB1CD0A" w14:textId="3DA6B4DB" w:rsidR="00B63F9A" w:rsidRDefault="007F566D" w:rsidP="00B63F9A">
            <w:pPr>
              <w:rPr>
                <w:rFonts w:ascii="Calibri" w:hAnsi="Calibri" w:cs="Calibri"/>
              </w:rPr>
            </w:pPr>
            <w:r w:rsidRPr="007F566D">
              <w:rPr>
                <w:rFonts w:ascii="Calibri" w:hAnsi="Calibri" w:cs="Calibri"/>
              </w:rPr>
              <w:t>Oxford University Press</w:t>
            </w:r>
          </w:p>
        </w:tc>
        <w:tc>
          <w:tcPr>
            <w:tcW w:w="3330" w:type="dxa"/>
            <w:vAlign w:val="center"/>
          </w:tcPr>
          <w:p w14:paraId="3C13CA61" w14:textId="6271DD9C" w:rsidR="00B63F9A" w:rsidRPr="00AD0BFA" w:rsidRDefault="007F566D" w:rsidP="00B63F9A">
            <w:r w:rsidRPr="007F566D">
              <w:t>Oxford Handbooks Online 2019 Political Science</w:t>
            </w:r>
          </w:p>
        </w:tc>
        <w:tc>
          <w:tcPr>
            <w:tcW w:w="1628" w:type="dxa"/>
            <w:vAlign w:val="center"/>
          </w:tcPr>
          <w:p w14:paraId="5E47CB98" w14:textId="454F9605" w:rsidR="00B63F9A" w:rsidRDefault="007F566D" w:rsidP="00B63F9A">
            <w:pPr>
              <w:jc w:val="center"/>
            </w:pPr>
            <w:r>
              <w:t>V</w:t>
            </w:r>
          </w:p>
        </w:tc>
        <w:tc>
          <w:tcPr>
            <w:tcW w:w="1432" w:type="dxa"/>
            <w:vAlign w:val="center"/>
          </w:tcPr>
          <w:p w14:paraId="035A76B1" w14:textId="77777777" w:rsidR="00B63F9A" w:rsidRDefault="00B63F9A" w:rsidP="00B63F9A">
            <w:pPr>
              <w:jc w:val="center"/>
            </w:pPr>
          </w:p>
        </w:tc>
        <w:tc>
          <w:tcPr>
            <w:tcW w:w="1980" w:type="dxa"/>
            <w:vAlign w:val="center"/>
          </w:tcPr>
          <w:p w14:paraId="40880A11" w14:textId="77777777" w:rsidR="00B63F9A" w:rsidRDefault="00B63F9A" w:rsidP="00B63F9A"/>
        </w:tc>
      </w:tr>
      <w:tr w:rsidR="00B63F9A" w14:paraId="2313CEAF" w14:textId="77777777" w:rsidTr="003B12C8">
        <w:tc>
          <w:tcPr>
            <w:tcW w:w="1975" w:type="dxa"/>
            <w:vAlign w:val="center"/>
          </w:tcPr>
          <w:p w14:paraId="6F1D285A" w14:textId="33C82B56" w:rsidR="00B63F9A" w:rsidRDefault="007F566D" w:rsidP="00B63F9A">
            <w:pPr>
              <w:rPr>
                <w:rFonts w:ascii="Calibri" w:hAnsi="Calibri" w:cs="Calibri"/>
              </w:rPr>
            </w:pPr>
            <w:proofErr w:type="spellStart"/>
            <w:r w:rsidRPr="007F566D">
              <w:rPr>
                <w:rFonts w:ascii="Calibri" w:hAnsi="Calibri" w:cs="Calibri"/>
              </w:rPr>
              <w:t>HeinOnline</w:t>
            </w:r>
            <w:proofErr w:type="spellEnd"/>
          </w:p>
        </w:tc>
        <w:tc>
          <w:tcPr>
            <w:tcW w:w="3330" w:type="dxa"/>
            <w:vAlign w:val="center"/>
          </w:tcPr>
          <w:p w14:paraId="4CA1FF6D" w14:textId="19B3FA66" w:rsidR="00B63F9A" w:rsidRPr="00BE53C2" w:rsidRDefault="007F566D" w:rsidP="00B63F9A">
            <w:r>
              <w:t>Multiple collections (</w:t>
            </w:r>
            <w:r w:rsidR="00B6060A">
              <w:t>22</w:t>
            </w:r>
            <w:r>
              <w:t>)</w:t>
            </w:r>
          </w:p>
        </w:tc>
        <w:tc>
          <w:tcPr>
            <w:tcW w:w="1628" w:type="dxa"/>
            <w:vAlign w:val="center"/>
          </w:tcPr>
          <w:p w14:paraId="7DD0E6D0" w14:textId="225DDCC4" w:rsidR="00B63F9A" w:rsidRDefault="007F566D" w:rsidP="00B63F9A">
            <w:pPr>
              <w:jc w:val="center"/>
            </w:pPr>
            <w:r>
              <w:t>V</w:t>
            </w:r>
          </w:p>
        </w:tc>
        <w:tc>
          <w:tcPr>
            <w:tcW w:w="1432" w:type="dxa"/>
            <w:vAlign w:val="center"/>
          </w:tcPr>
          <w:p w14:paraId="5233C12F" w14:textId="77777777" w:rsidR="00B63F9A" w:rsidRDefault="00B63F9A" w:rsidP="00B63F9A">
            <w:pPr>
              <w:jc w:val="center"/>
            </w:pPr>
          </w:p>
        </w:tc>
        <w:tc>
          <w:tcPr>
            <w:tcW w:w="1980" w:type="dxa"/>
            <w:vAlign w:val="center"/>
          </w:tcPr>
          <w:p w14:paraId="2686F939" w14:textId="77777777" w:rsidR="00B63F9A" w:rsidRDefault="00B63F9A" w:rsidP="00B63F9A"/>
        </w:tc>
      </w:tr>
      <w:tr w:rsidR="00B63F9A" w14:paraId="69F298AC" w14:textId="77777777" w:rsidTr="003B12C8">
        <w:tc>
          <w:tcPr>
            <w:tcW w:w="1975" w:type="dxa"/>
            <w:vAlign w:val="center"/>
          </w:tcPr>
          <w:p w14:paraId="279BBCF8" w14:textId="55003B27" w:rsidR="00B63F9A" w:rsidRPr="00BE53C2" w:rsidRDefault="007F566D" w:rsidP="00B63F9A">
            <w:pPr>
              <w:rPr>
                <w:rFonts w:ascii="Calibri" w:hAnsi="Calibri" w:cs="Calibri"/>
              </w:rPr>
            </w:pPr>
            <w:r>
              <w:rPr>
                <w:rFonts w:ascii="Calibri" w:hAnsi="Calibri" w:cs="Calibri"/>
              </w:rPr>
              <w:t>Project MUSE</w:t>
            </w:r>
          </w:p>
        </w:tc>
        <w:tc>
          <w:tcPr>
            <w:tcW w:w="3330" w:type="dxa"/>
            <w:vAlign w:val="center"/>
          </w:tcPr>
          <w:p w14:paraId="1CAD43B9" w14:textId="18D893CE" w:rsidR="00B63F9A" w:rsidRDefault="007F566D" w:rsidP="00B63F9A">
            <w:r w:rsidRPr="007F566D">
              <w:t>UPCC Books 2019 Native American and Indigenous Studies</w:t>
            </w:r>
          </w:p>
        </w:tc>
        <w:tc>
          <w:tcPr>
            <w:tcW w:w="1628" w:type="dxa"/>
            <w:vAlign w:val="center"/>
          </w:tcPr>
          <w:p w14:paraId="3E0BCA94" w14:textId="47AAF9C3" w:rsidR="00B63F9A" w:rsidRDefault="007F566D" w:rsidP="00B63F9A">
            <w:pPr>
              <w:jc w:val="center"/>
            </w:pPr>
            <w:r>
              <w:t>V</w:t>
            </w:r>
          </w:p>
        </w:tc>
        <w:tc>
          <w:tcPr>
            <w:tcW w:w="1432" w:type="dxa"/>
            <w:vAlign w:val="center"/>
          </w:tcPr>
          <w:p w14:paraId="65675659" w14:textId="77777777" w:rsidR="00B63F9A" w:rsidRDefault="00B63F9A" w:rsidP="00B63F9A">
            <w:pPr>
              <w:jc w:val="center"/>
            </w:pPr>
          </w:p>
        </w:tc>
        <w:tc>
          <w:tcPr>
            <w:tcW w:w="1980" w:type="dxa"/>
            <w:vAlign w:val="center"/>
          </w:tcPr>
          <w:p w14:paraId="48687238" w14:textId="77777777" w:rsidR="00B63F9A" w:rsidRDefault="00B63F9A" w:rsidP="00B63F9A"/>
        </w:tc>
      </w:tr>
      <w:tr w:rsidR="00B63F9A" w14:paraId="050FEBCA" w14:textId="77777777" w:rsidTr="003B12C8">
        <w:tc>
          <w:tcPr>
            <w:tcW w:w="1975" w:type="dxa"/>
            <w:vAlign w:val="center"/>
          </w:tcPr>
          <w:p w14:paraId="3408BB04" w14:textId="5EEB9874" w:rsidR="00B63F9A" w:rsidRDefault="00125C85" w:rsidP="00B63F9A">
            <w:pPr>
              <w:rPr>
                <w:rFonts w:ascii="Calibri" w:hAnsi="Calibri" w:cs="Calibri"/>
              </w:rPr>
            </w:pPr>
            <w:r>
              <w:rPr>
                <w:rFonts w:ascii="Calibri" w:hAnsi="Calibri" w:cs="Calibri"/>
              </w:rPr>
              <w:t>IEEE Xplore</w:t>
            </w:r>
          </w:p>
        </w:tc>
        <w:tc>
          <w:tcPr>
            <w:tcW w:w="3330" w:type="dxa"/>
            <w:vAlign w:val="center"/>
          </w:tcPr>
          <w:p w14:paraId="4DFB6417" w14:textId="418343EF" w:rsidR="00B63F9A" w:rsidRDefault="00125C85" w:rsidP="00B63F9A">
            <w:r>
              <w:t>Multiple collections (40)</w:t>
            </w:r>
          </w:p>
        </w:tc>
        <w:tc>
          <w:tcPr>
            <w:tcW w:w="1628" w:type="dxa"/>
            <w:vAlign w:val="center"/>
          </w:tcPr>
          <w:p w14:paraId="403BA5D0" w14:textId="63D20841" w:rsidR="00B63F9A" w:rsidRDefault="00125C85" w:rsidP="00B63F9A">
            <w:pPr>
              <w:jc w:val="center"/>
            </w:pPr>
            <w:r>
              <w:t>V</w:t>
            </w:r>
          </w:p>
        </w:tc>
        <w:tc>
          <w:tcPr>
            <w:tcW w:w="1432" w:type="dxa"/>
            <w:vAlign w:val="center"/>
          </w:tcPr>
          <w:p w14:paraId="4B550623" w14:textId="77777777" w:rsidR="00B63F9A" w:rsidRDefault="00B63F9A" w:rsidP="00B63F9A">
            <w:pPr>
              <w:jc w:val="center"/>
            </w:pPr>
          </w:p>
        </w:tc>
        <w:tc>
          <w:tcPr>
            <w:tcW w:w="1980" w:type="dxa"/>
            <w:vAlign w:val="center"/>
          </w:tcPr>
          <w:p w14:paraId="17D943EF" w14:textId="77777777" w:rsidR="00B63F9A" w:rsidRDefault="00B63F9A" w:rsidP="00B63F9A"/>
        </w:tc>
      </w:tr>
      <w:tr w:rsidR="00B63F9A" w14:paraId="4AAA35AF" w14:textId="77777777" w:rsidTr="003B12C8">
        <w:tc>
          <w:tcPr>
            <w:tcW w:w="1975" w:type="dxa"/>
            <w:vAlign w:val="center"/>
          </w:tcPr>
          <w:p w14:paraId="29A9359A" w14:textId="5EFD18F5" w:rsidR="00B63F9A" w:rsidRDefault="00125C85" w:rsidP="00B63F9A">
            <w:pPr>
              <w:rPr>
                <w:rFonts w:ascii="Calibri" w:hAnsi="Calibri" w:cs="Calibri"/>
              </w:rPr>
            </w:pPr>
            <w:r>
              <w:rPr>
                <w:rFonts w:ascii="Calibri" w:hAnsi="Calibri" w:cs="Calibri"/>
              </w:rPr>
              <w:t>SAGE</w:t>
            </w:r>
          </w:p>
        </w:tc>
        <w:tc>
          <w:tcPr>
            <w:tcW w:w="3330" w:type="dxa"/>
            <w:vAlign w:val="center"/>
          </w:tcPr>
          <w:p w14:paraId="406ED61C" w14:textId="77777777" w:rsidR="00B63F9A" w:rsidRDefault="00125C85" w:rsidP="00B63F9A">
            <w:r w:rsidRPr="00125C85">
              <w:t>Sage CQ Press All Titles</w:t>
            </w:r>
          </w:p>
          <w:p w14:paraId="5B7A1289" w14:textId="79AF45C3" w:rsidR="00125C85" w:rsidRPr="00475E7D" w:rsidRDefault="00125C85" w:rsidP="00B63F9A">
            <w:r w:rsidRPr="00125C85">
              <w:t>Sage Campus</w:t>
            </w:r>
          </w:p>
        </w:tc>
        <w:tc>
          <w:tcPr>
            <w:tcW w:w="1628" w:type="dxa"/>
            <w:vAlign w:val="center"/>
          </w:tcPr>
          <w:p w14:paraId="7525F772" w14:textId="3F030D4C" w:rsidR="00B63F9A" w:rsidRDefault="00B63F9A" w:rsidP="00B63F9A">
            <w:pPr>
              <w:jc w:val="center"/>
            </w:pPr>
          </w:p>
        </w:tc>
        <w:tc>
          <w:tcPr>
            <w:tcW w:w="1432" w:type="dxa"/>
            <w:vAlign w:val="center"/>
          </w:tcPr>
          <w:p w14:paraId="4C92BCE9" w14:textId="77777777" w:rsidR="00B63F9A" w:rsidRDefault="00B63F9A" w:rsidP="00B63F9A">
            <w:pPr>
              <w:jc w:val="center"/>
            </w:pPr>
          </w:p>
        </w:tc>
        <w:tc>
          <w:tcPr>
            <w:tcW w:w="1980" w:type="dxa"/>
            <w:vAlign w:val="center"/>
          </w:tcPr>
          <w:p w14:paraId="34661116" w14:textId="77777777" w:rsidR="00B63F9A" w:rsidRDefault="00B63F9A" w:rsidP="00B63F9A"/>
        </w:tc>
      </w:tr>
      <w:tr w:rsidR="00B63F9A" w14:paraId="078987CB" w14:textId="77777777" w:rsidTr="003B12C8">
        <w:tc>
          <w:tcPr>
            <w:tcW w:w="1975" w:type="dxa"/>
            <w:vAlign w:val="center"/>
          </w:tcPr>
          <w:p w14:paraId="2EACBF80" w14:textId="30BE5BEA" w:rsidR="00B63F9A" w:rsidRDefault="00125C85" w:rsidP="00B63F9A">
            <w:pPr>
              <w:rPr>
                <w:rFonts w:ascii="Calibri" w:hAnsi="Calibri" w:cs="Calibri"/>
              </w:rPr>
            </w:pPr>
            <w:r>
              <w:rPr>
                <w:rFonts w:ascii="Calibri" w:hAnsi="Calibri" w:cs="Calibri"/>
              </w:rPr>
              <w:t xml:space="preserve">Emerald </w:t>
            </w:r>
          </w:p>
        </w:tc>
        <w:tc>
          <w:tcPr>
            <w:tcW w:w="3330" w:type="dxa"/>
            <w:vAlign w:val="center"/>
          </w:tcPr>
          <w:p w14:paraId="343B65DF" w14:textId="12E5EBFD" w:rsidR="00B63F9A" w:rsidRPr="00475E7D" w:rsidRDefault="00125C85" w:rsidP="00B63F9A">
            <w:proofErr w:type="spellStart"/>
            <w:r>
              <w:t>E</w:t>
            </w:r>
            <w:r w:rsidRPr="00125C85">
              <w:t>books</w:t>
            </w:r>
            <w:proofErr w:type="spellEnd"/>
            <w:r w:rsidRPr="00125C85">
              <w:t xml:space="preserve"> in Series HEAL-Link</w:t>
            </w:r>
          </w:p>
        </w:tc>
        <w:tc>
          <w:tcPr>
            <w:tcW w:w="1628" w:type="dxa"/>
            <w:vAlign w:val="center"/>
          </w:tcPr>
          <w:p w14:paraId="65BFE3B7" w14:textId="199B041B" w:rsidR="00B63F9A" w:rsidRDefault="00125C85" w:rsidP="00B63F9A">
            <w:pPr>
              <w:jc w:val="center"/>
            </w:pPr>
            <w:r>
              <w:t>V</w:t>
            </w:r>
          </w:p>
        </w:tc>
        <w:tc>
          <w:tcPr>
            <w:tcW w:w="1432" w:type="dxa"/>
            <w:vAlign w:val="center"/>
          </w:tcPr>
          <w:p w14:paraId="0D8FDD2B" w14:textId="77777777" w:rsidR="00B63F9A" w:rsidRDefault="00B63F9A" w:rsidP="00B63F9A">
            <w:pPr>
              <w:jc w:val="center"/>
            </w:pPr>
          </w:p>
        </w:tc>
        <w:tc>
          <w:tcPr>
            <w:tcW w:w="1980" w:type="dxa"/>
            <w:vAlign w:val="center"/>
          </w:tcPr>
          <w:p w14:paraId="63246D7F" w14:textId="77777777" w:rsidR="00B63F9A" w:rsidRDefault="00B63F9A" w:rsidP="00B63F9A"/>
        </w:tc>
      </w:tr>
      <w:tr w:rsidR="00125C85" w14:paraId="24735396" w14:textId="77777777" w:rsidTr="003B12C8">
        <w:tc>
          <w:tcPr>
            <w:tcW w:w="1975" w:type="dxa"/>
            <w:vAlign w:val="center"/>
          </w:tcPr>
          <w:p w14:paraId="39051FC9" w14:textId="091E6155" w:rsidR="00125C85" w:rsidRPr="00475E7D" w:rsidRDefault="00125C85" w:rsidP="00125C85">
            <w:pPr>
              <w:rPr>
                <w:rFonts w:ascii="Calibri" w:hAnsi="Calibri" w:cs="Calibri"/>
              </w:rPr>
            </w:pPr>
            <w:r w:rsidRPr="00125C85">
              <w:rPr>
                <w:rFonts w:ascii="Calibri" w:hAnsi="Calibri" w:cs="Calibri"/>
              </w:rPr>
              <w:t>American Chemical Society</w:t>
            </w:r>
          </w:p>
        </w:tc>
        <w:tc>
          <w:tcPr>
            <w:tcW w:w="3330" w:type="dxa"/>
            <w:vAlign w:val="center"/>
          </w:tcPr>
          <w:p w14:paraId="14A136D7" w14:textId="16FB5333" w:rsidR="00125C85" w:rsidRPr="00475E7D" w:rsidRDefault="00125C85" w:rsidP="00125C85">
            <w:r>
              <w:t>Multiple collections (</w:t>
            </w:r>
            <w:r>
              <w:t>9</w:t>
            </w:r>
            <w:r>
              <w:t>)</w:t>
            </w:r>
          </w:p>
        </w:tc>
        <w:tc>
          <w:tcPr>
            <w:tcW w:w="1628" w:type="dxa"/>
            <w:vAlign w:val="center"/>
          </w:tcPr>
          <w:p w14:paraId="07C1A143" w14:textId="42B38BE4" w:rsidR="00125C85" w:rsidRDefault="00125C85" w:rsidP="00125C85">
            <w:pPr>
              <w:jc w:val="center"/>
            </w:pPr>
            <w:r>
              <w:t>V</w:t>
            </w:r>
          </w:p>
        </w:tc>
        <w:tc>
          <w:tcPr>
            <w:tcW w:w="1432" w:type="dxa"/>
            <w:vAlign w:val="center"/>
          </w:tcPr>
          <w:p w14:paraId="2A5441EF" w14:textId="77777777" w:rsidR="00125C85" w:rsidRDefault="00125C85" w:rsidP="00125C85">
            <w:pPr>
              <w:jc w:val="center"/>
            </w:pPr>
          </w:p>
        </w:tc>
        <w:tc>
          <w:tcPr>
            <w:tcW w:w="1980" w:type="dxa"/>
            <w:vAlign w:val="center"/>
          </w:tcPr>
          <w:p w14:paraId="7D72494F" w14:textId="77777777" w:rsidR="00125C85" w:rsidRDefault="00125C85" w:rsidP="00125C85"/>
        </w:tc>
      </w:tr>
      <w:tr w:rsidR="00125C85" w14:paraId="3D0071EE" w14:textId="77777777" w:rsidTr="003B12C8">
        <w:tc>
          <w:tcPr>
            <w:tcW w:w="1975" w:type="dxa"/>
            <w:vAlign w:val="center"/>
          </w:tcPr>
          <w:p w14:paraId="18E8A56E" w14:textId="4F534FF9" w:rsidR="00125C85" w:rsidRDefault="00125C85" w:rsidP="00125C85">
            <w:pPr>
              <w:rPr>
                <w:rFonts w:ascii="Calibri" w:hAnsi="Calibri" w:cs="Calibri"/>
              </w:rPr>
            </w:pPr>
            <w:proofErr w:type="spellStart"/>
            <w:r w:rsidRPr="00125C85">
              <w:rPr>
                <w:rFonts w:ascii="Calibri" w:hAnsi="Calibri" w:cs="Calibri"/>
              </w:rPr>
              <w:t>OhioLINK</w:t>
            </w:r>
            <w:proofErr w:type="spellEnd"/>
          </w:p>
        </w:tc>
        <w:tc>
          <w:tcPr>
            <w:tcW w:w="3330" w:type="dxa"/>
            <w:vAlign w:val="center"/>
          </w:tcPr>
          <w:p w14:paraId="301F3C03" w14:textId="7BA528E1" w:rsidR="00125C85" w:rsidRPr="00880524" w:rsidRDefault="00125C85" w:rsidP="00125C85">
            <w:r w:rsidRPr="00125C85">
              <w:t>EBC Supplemental Collection</w:t>
            </w:r>
          </w:p>
        </w:tc>
        <w:tc>
          <w:tcPr>
            <w:tcW w:w="1628" w:type="dxa"/>
            <w:vAlign w:val="center"/>
          </w:tcPr>
          <w:p w14:paraId="394E0AC5" w14:textId="0A1E4231" w:rsidR="00125C85" w:rsidRDefault="00125C85" w:rsidP="00125C85">
            <w:pPr>
              <w:jc w:val="center"/>
            </w:pPr>
            <w:r>
              <w:t>V</w:t>
            </w:r>
          </w:p>
        </w:tc>
        <w:tc>
          <w:tcPr>
            <w:tcW w:w="1432" w:type="dxa"/>
            <w:vAlign w:val="center"/>
          </w:tcPr>
          <w:p w14:paraId="01FFEC94" w14:textId="77777777" w:rsidR="00125C85" w:rsidRDefault="00125C85" w:rsidP="00125C85">
            <w:pPr>
              <w:jc w:val="center"/>
            </w:pPr>
          </w:p>
        </w:tc>
        <w:tc>
          <w:tcPr>
            <w:tcW w:w="1980" w:type="dxa"/>
            <w:vAlign w:val="center"/>
          </w:tcPr>
          <w:p w14:paraId="5223A868" w14:textId="77777777" w:rsidR="00125C85" w:rsidRDefault="00125C85" w:rsidP="00125C85"/>
        </w:tc>
      </w:tr>
      <w:tr w:rsidR="00125C85" w14:paraId="456287A3" w14:textId="77777777" w:rsidTr="003B12C8">
        <w:tc>
          <w:tcPr>
            <w:tcW w:w="1975" w:type="dxa"/>
            <w:vAlign w:val="center"/>
          </w:tcPr>
          <w:p w14:paraId="79746B9F" w14:textId="4D033F1D" w:rsidR="00125C85" w:rsidRDefault="00125C85" w:rsidP="00125C85">
            <w:pPr>
              <w:rPr>
                <w:rFonts w:ascii="Calibri" w:hAnsi="Calibri" w:cs="Calibri"/>
              </w:rPr>
            </w:pPr>
            <w:r>
              <w:rPr>
                <w:rFonts w:ascii="Calibri" w:hAnsi="Calibri" w:cs="Calibri"/>
              </w:rPr>
              <w:t>Springer</w:t>
            </w:r>
          </w:p>
        </w:tc>
        <w:tc>
          <w:tcPr>
            <w:tcW w:w="3330" w:type="dxa"/>
            <w:vAlign w:val="center"/>
          </w:tcPr>
          <w:p w14:paraId="0251B285" w14:textId="11198CC5" w:rsidR="00125C85" w:rsidRDefault="00125C85" w:rsidP="00125C85">
            <w:r>
              <w:t xml:space="preserve">JUSTICE 2020: All Journals </w:t>
            </w:r>
          </w:p>
        </w:tc>
        <w:tc>
          <w:tcPr>
            <w:tcW w:w="1628" w:type="dxa"/>
            <w:vAlign w:val="center"/>
          </w:tcPr>
          <w:p w14:paraId="133A4042" w14:textId="1C3A2527" w:rsidR="00125C85" w:rsidRDefault="00125C85" w:rsidP="00125C85">
            <w:pPr>
              <w:jc w:val="center"/>
            </w:pPr>
            <w:r>
              <w:t>V</w:t>
            </w:r>
          </w:p>
        </w:tc>
        <w:tc>
          <w:tcPr>
            <w:tcW w:w="1432" w:type="dxa"/>
            <w:vAlign w:val="center"/>
          </w:tcPr>
          <w:p w14:paraId="3CBFD056" w14:textId="77777777" w:rsidR="00125C85" w:rsidRDefault="00125C85" w:rsidP="00125C85">
            <w:pPr>
              <w:jc w:val="center"/>
            </w:pPr>
          </w:p>
        </w:tc>
        <w:tc>
          <w:tcPr>
            <w:tcW w:w="1980" w:type="dxa"/>
            <w:vAlign w:val="center"/>
          </w:tcPr>
          <w:p w14:paraId="25A8521A" w14:textId="52D2846E" w:rsidR="00125C85" w:rsidRDefault="00125C85" w:rsidP="00125C85">
            <w:r>
              <w:t xml:space="preserve">Consortia content </w:t>
            </w:r>
          </w:p>
        </w:tc>
      </w:tr>
      <w:tr w:rsidR="00125C85" w14:paraId="43A43A96" w14:textId="77777777" w:rsidTr="003B12C8">
        <w:tc>
          <w:tcPr>
            <w:tcW w:w="1975" w:type="dxa"/>
            <w:vAlign w:val="center"/>
          </w:tcPr>
          <w:p w14:paraId="34A3334C" w14:textId="237DCA6A" w:rsidR="00125C85" w:rsidRDefault="00125C85" w:rsidP="00125C85">
            <w:pPr>
              <w:rPr>
                <w:rFonts w:ascii="Calibri" w:hAnsi="Calibri" w:cs="Calibri"/>
              </w:rPr>
            </w:pPr>
            <w:r>
              <w:rPr>
                <w:rFonts w:ascii="Calibri" w:hAnsi="Calibri" w:cs="Calibri"/>
              </w:rPr>
              <w:t>Knowledge Unlatched</w:t>
            </w:r>
          </w:p>
        </w:tc>
        <w:tc>
          <w:tcPr>
            <w:tcW w:w="3330" w:type="dxa"/>
            <w:vAlign w:val="center"/>
          </w:tcPr>
          <w:p w14:paraId="73F3BE60" w14:textId="17D4BA9D" w:rsidR="00125C85" w:rsidRDefault="00515C48" w:rsidP="00515C48">
            <w:pPr>
              <w:spacing w:after="160" w:line="259" w:lineRule="auto"/>
            </w:pPr>
            <w:r>
              <w:t>Multiple collections (</w:t>
            </w:r>
            <w:r>
              <w:t>8)</w:t>
            </w:r>
          </w:p>
        </w:tc>
        <w:tc>
          <w:tcPr>
            <w:tcW w:w="1628" w:type="dxa"/>
            <w:vAlign w:val="center"/>
          </w:tcPr>
          <w:p w14:paraId="68DB6BEC" w14:textId="25DC5BA4" w:rsidR="00125C85" w:rsidRDefault="00515C48" w:rsidP="00125C85">
            <w:pPr>
              <w:jc w:val="center"/>
            </w:pPr>
            <w:r>
              <w:t>V</w:t>
            </w:r>
          </w:p>
        </w:tc>
        <w:tc>
          <w:tcPr>
            <w:tcW w:w="1432" w:type="dxa"/>
            <w:vAlign w:val="center"/>
          </w:tcPr>
          <w:p w14:paraId="44C83119" w14:textId="77777777" w:rsidR="00125C85" w:rsidRDefault="00125C85" w:rsidP="00125C85">
            <w:pPr>
              <w:jc w:val="center"/>
            </w:pPr>
          </w:p>
        </w:tc>
        <w:tc>
          <w:tcPr>
            <w:tcW w:w="1980" w:type="dxa"/>
            <w:vAlign w:val="center"/>
          </w:tcPr>
          <w:p w14:paraId="13AA0C04" w14:textId="77777777" w:rsidR="00125C85" w:rsidRDefault="00515C48" w:rsidP="00125C85">
            <w:r>
              <w:t xml:space="preserve">Idea Exchange </w:t>
            </w:r>
          </w:p>
          <w:p w14:paraId="4F10694B" w14:textId="6DB1DD88" w:rsidR="00515C48" w:rsidRDefault="00515C48" w:rsidP="00125C85">
            <w:proofErr w:type="spellStart"/>
            <w:r>
              <w:t>hbz</w:t>
            </w:r>
            <w:proofErr w:type="spellEnd"/>
            <w:r>
              <w:t xml:space="preserve"> regional content </w:t>
            </w:r>
          </w:p>
        </w:tc>
      </w:tr>
      <w:tr w:rsidR="00125C85" w14:paraId="7C97BDF8" w14:textId="77777777" w:rsidTr="003B12C8">
        <w:tc>
          <w:tcPr>
            <w:tcW w:w="1975" w:type="dxa"/>
            <w:vAlign w:val="center"/>
          </w:tcPr>
          <w:p w14:paraId="71BC4F90" w14:textId="09481129" w:rsidR="00125C85" w:rsidRDefault="00515C48" w:rsidP="00125C85">
            <w:pPr>
              <w:rPr>
                <w:rFonts w:ascii="Calibri" w:hAnsi="Calibri" w:cs="Calibri"/>
              </w:rPr>
            </w:pPr>
            <w:r w:rsidRPr="00515C48">
              <w:rPr>
                <w:rFonts w:ascii="Calibri" w:hAnsi="Calibri" w:cs="Calibri"/>
              </w:rPr>
              <w:t>John Benjamins</w:t>
            </w:r>
          </w:p>
        </w:tc>
        <w:tc>
          <w:tcPr>
            <w:tcW w:w="3330" w:type="dxa"/>
            <w:vAlign w:val="center"/>
          </w:tcPr>
          <w:p w14:paraId="60452FC3" w14:textId="09B4787B" w:rsidR="00125C85" w:rsidRDefault="00515C48" w:rsidP="00125C85">
            <w:r w:rsidRPr="00515C48">
              <w:t xml:space="preserve">Studies in language variation </w:t>
            </w:r>
            <w:proofErr w:type="spellStart"/>
            <w:r w:rsidRPr="00515C48">
              <w:t>aus</w:t>
            </w:r>
            <w:proofErr w:type="spellEnd"/>
            <w:r w:rsidRPr="00515C48">
              <w:t xml:space="preserve"> den Benjamins Series collections</w:t>
            </w:r>
          </w:p>
        </w:tc>
        <w:tc>
          <w:tcPr>
            <w:tcW w:w="1628" w:type="dxa"/>
            <w:vAlign w:val="center"/>
          </w:tcPr>
          <w:p w14:paraId="59462DC5" w14:textId="6B7EBEA7" w:rsidR="00125C85" w:rsidRDefault="00515C48" w:rsidP="00125C85">
            <w:pPr>
              <w:jc w:val="center"/>
            </w:pPr>
            <w:r>
              <w:t>V</w:t>
            </w:r>
          </w:p>
        </w:tc>
        <w:tc>
          <w:tcPr>
            <w:tcW w:w="1432" w:type="dxa"/>
            <w:vAlign w:val="center"/>
          </w:tcPr>
          <w:p w14:paraId="7456C7EA" w14:textId="77777777" w:rsidR="00125C85" w:rsidRDefault="00125C85" w:rsidP="00125C85">
            <w:pPr>
              <w:jc w:val="center"/>
            </w:pPr>
          </w:p>
        </w:tc>
        <w:tc>
          <w:tcPr>
            <w:tcW w:w="1980" w:type="dxa"/>
            <w:vAlign w:val="center"/>
          </w:tcPr>
          <w:p w14:paraId="404044AF" w14:textId="1B64DE36" w:rsidR="00125C85" w:rsidRDefault="00515C48" w:rsidP="00125C85">
            <w:proofErr w:type="spellStart"/>
            <w:r>
              <w:t>hbz</w:t>
            </w:r>
            <w:proofErr w:type="spellEnd"/>
            <w:r>
              <w:t xml:space="preserve"> regional content</w:t>
            </w:r>
          </w:p>
        </w:tc>
      </w:tr>
      <w:tr w:rsidR="00125C85" w14:paraId="1C3286ED" w14:textId="77777777" w:rsidTr="003B12C8">
        <w:tc>
          <w:tcPr>
            <w:tcW w:w="1975" w:type="dxa"/>
            <w:vAlign w:val="center"/>
          </w:tcPr>
          <w:p w14:paraId="1B7A2816" w14:textId="68492724" w:rsidR="00125C85" w:rsidRPr="00880524" w:rsidRDefault="00515C48" w:rsidP="00125C85">
            <w:pPr>
              <w:rPr>
                <w:rFonts w:ascii="Calibri" w:hAnsi="Calibri" w:cs="Calibri"/>
              </w:rPr>
            </w:pPr>
            <w:r>
              <w:rPr>
                <w:rFonts w:ascii="Calibri" w:hAnsi="Calibri" w:cs="Calibri"/>
              </w:rPr>
              <w:t>RILM</w:t>
            </w:r>
          </w:p>
        </w:tc>
        <w:tc>
          <w:tcPr>
            <w:tcW w:w="3330" w:type="dxa"/>
            <w:vAlign w:val="center"/>
          </w:tcPr>
          <w:p w14:paraId="3860A4FE" w14:textId="7D9A4052" w:rsidR="00125C85" w:rsidRDefault="00515C48" w:rsidP="00125C85">
            <w:r w:rsidRPr="00515C48">
              <w:t>MGG Online</w:t>
            </w:r>
          </w:p>
        </w:tc>
        <w:tc>
          <w:tcPr>
            <w:tcW w:w="1628" w:type="dxa"/>
            <w:vAlign w:val="center"/>
          </w:tcPr>
          <w:p w14:paraId="6EA6654F" w14:textId="21A29083" w:rsidR="00125C85" w:rsidRDefault="00515C48" w:rsidP="00125C85">
            <w:pPr>
              <w:jc w:val="center"/>
            </w:pPr>
            <w:r>
              <w:t>V</w:t>
            </w:r>
          </w:p>
        </w:tc>
        <w:tc>
          <w:tcPr>
            <w:tcW w:w="1432" w:type="dxa"/>
            <w:vAlign w:val="center"/>
          </w:tcPr>
          <w:p w14:paraId="00897B05" w14:textId="77777777" w:rsidR="00125C85" w:rsidRDefault="00125C85" w:rsidP="00125C85">
            <w:pPr>
              <w:jc w:val="center"/>
            </w:pPr>
          </w:p>
        </w:tc>
        <w:tc>
          <w:tcPr>
            <w:tcW w:w="1980" w:type="dxa"/>
            <w:vAlign w:val="center"/>
          </w:tcPr>
          <w:p w14:paraId="354110E9" w14:textId="254C6B5B" w:rsidR="00125C85" w:rsidRDefault="00515C48" w:rsidP="00125C85">
            <w:r>
              <w:t>NERS request</w:t>
            </w:r>
          </w:p>
        </w:tc>
      </w:tr>
      <w:tr w:rsidR="00125C85" w14:paraId="7B40444C" w14:textId="77777777" w:rsidTr="003B12C8">
        <w:tc>
          <w:tcPr>
            <w:tcW w:w="1975" w:type="dxa"/>
            <w:vAlign w:val="center"/>
          </w:tcPr>
          <w:p w14:paraId="30698A32" w14:textId="36754045" w:rsidR="00125C85" w:rsidRDefault="00515C48" w:rsidP="00125C85">
            <w:pPr>
              <w:rPr>
                <w:rFonts w:ascii="Calibri" w:hAnsi="Calibri" w:cs="Calibri"/>
              </w:rPr>
            </w:pPr>
            <w:r>
              <w:rPr>
                <w:rFonts w:ascii="Calibri" w:hAnsi="Calibri" w:cs="Calibri"/>
              </w:rPr>
              <w:t>Preselect</w:t>
            </w:r>
          </w:p>
        </w:tc>
        <w:tc>
          <w:tcPr>
            <w:tcW w:w="3330" w:type="dxa"/>
            <w:vAlign w:val="center"/>
          </w:tcPr>
          <w:p w14:paraId="5BE7798D" w14:textId="458B01CA" w:rsidR="00125C85" w:rsidRDefault="00515C48" w:rsidP="00125C85">
            <w:r>
              <w:t>Multiple collections (</w:t>
            </w:r>
            <w:r>
              <w:t>1,000)</w:t>
            </w:r>
          </w:p>
        </w:tc>
        <w:tc>
          <w:tcPr>
            <w:tcW w:w="1628" w:type="dxa"/>
            <w:vAlign w:val="center"/>
          </w:tcPr>
          <w:p w14:paraId="5A2F0ACF" w14:textId="00D070E9" w:rsidR="00125C85" w:rsidRDefault="00515C48" w:rsidP="00125C85">
            <w:pPr>
              <w:jc w:val="center"/>
            </w:pPr>
            <w:r>
              <w:t>V</w:t>
            </w:r>
          </w:p>
        </w:tc>
        <w:tc>
          <w:tcPr>
            <w:tcW w:w="1432" w:type="dxa"/>
            <w:vAlign w:val="center"/>
          </w:tcPr>
          <w:p w14:paraId="59BE9950" w14:textId="77777777" w:rsidR="00125C85" w:rsidRDefault="00125C85" w:rsidP="00125C85">
            <w:pPr>
              <w:jc w:val="center"/>
            </w:pPr>
          </w:p>
        </w:tc>
        <w:tc>
          <w:tcPr>
            <w:tcW w:w="1980" w:type="dxa"/>
            <w:vAlign w:val="center"/>
          </w:tcPr>
          <w:p w14:paraId="000C8468" w14:textId="6AEA972C" w:rsidR="00125C85" w:rsidRDefault="00515C48" w:rsidP="00125C85">
            <w:r>
              <w:t>Regional content</w:t>
            </w:r>
          </w:p>
        </w:tc>
      </w:tr>
      <w:tr w:rsidR="00125C85" w14:paraId="5D3733EE" w14:textId="77777777" w:rsidTr="003B12C8">
        <w:tc>
          <w:tcPr>
            <w:tcW w:w="1975" w:type="dxa"/>
            <w:vAlign w:val="center"/>
          </w:tcPr>
          <w:p w14:paraId="3FDCAB79" w14:textId="6CA69338" w:rsidR="00125C85" w:rsidRDefault="005E24CE" w:rsidP="00125C85">
            <w:pPr>
              <w:rPr>
                <w:rFonts w:ascii="Calibri" w:hAnsi="Calibri" w:cs="Calibri"/>
              </w:rPr>
            </w:pPr>
            <w:r w:rsidRPr="005E24CE">
              <w:rPr>
                <w:rFonts w:ascii="Calibri" w:hAnsi="Calibri" w:cs="Calibri"/>
              </w:rPr>
              <w:t>MIT Press</w:t>
            </w:r>
          </w:p>
        </w:tc>
        <w:tc>
          <w:tcPr>
            <w:tcW w:w="3330" w:type="dxa"/>
            <w:vAlign w:val="center"/>
          </w:tcPr>
          <w:p w14:paraId="0FAB29EF" w14:textId="22943BF4" w:rsidR="00125C85" w:rsidRPr="00576C0B" w:rsidRDefault="005E24CE" w:rsidP="00125C85">
            <w:r>
              <w:t>Multiple collections (</w:t>
            </w:r>
            <w:r>
              <w:t>9)</w:t>
            </w:r>
          </w:p>
        </w:tc>
        <w:tc>
          <w:tcPr>
            <w:tcW w:w="1628" w:type="dxa"/>
            <w:vAlign w:val="center"/>
          </w:tcPr>
          <w:p w14:paraId="34747BA9" w14:textId="2BCCD31D" w:rsidR="00125C85" w:rsidRDefault="005E24CE" w:rsidP="00125C85">
            <w:pPr>
              <w:jc w:val="center"/>
            </w:pPr>
            <w:r>
              <w:t>V</w:t>
            </w:r>
          </w:p>
        </w:tc>
        <w:tc>
          <w:tcPr>
            <w:tcW w:w="1432" w:type="dxa"/>
            <w:vAlign w:val="center"/>
          </w:tcPr>
          <w:p w14:paraId="73B8C0F5" w14:textId="77777777" w:rsidR="00125C85" w:rsidRDefault="00125C85" w:rsidP="00125C85">
            <w:pPr>
              <w:jc w:val="center"/>
            </w:pPr>
          </w:p>
        </w:tc>
        <w:tc>
          <w:tcPr>
            <w:tcW w:w="1980" w:type="dxa"/>
            <w:vAlign w:val="center"/>
          </w:tcPr>
          <w:p w14:paraId="11CF6A8C" w14:textId="432A8F8A" w:rsidR="00125C85" w:rsidRDefault="00125C85" w:rsidP="00125C85"/>
        </w:tc>
      </w:tr>
      <w:tr w:rsidR="00125C85" w14:paraId="656190B3" w14:textId="77777777" w:rsidTr="003B12C8">
        <w:tc>
          <w:tcPr>
            <w:tcW w:w="1975" w:type="dxa"/>
            <w:vAlign w:val="center"/>
          </w:tcPr>
          <w:p w14:paraId="0C338674" w14:textId="750FD223" w:rsidR="00125C85" w:rsidRDefault="005E24CE" w:rsidP="00125C85">
            <w:pPr>
              <w:rPr>
                <w:rFonts w:ascii="Calibri" w:hAnsi="Calibri" w:cs="Calibri"/>
              </w:rPr>
            </w:pPr>
            <w:r>
              <w:rPr>
                <w:rFonts w:ascii="Calibri" w:hAnsi="Calibri" w:cs="Calibri"/>
              </w:rPr>
              <w:t>EB</w:t>
            </w:r>
            <w:r w:rsidR="003D65FD">
              <w:rPr>
                <w:rFonts w:ascii="Calibri" w:hAnsi="Calibri" w:cs="Calibri"/>
              </w:rPr>
              <w:t>S</w:t>
            </w:r>
            <w:r>
              <w:rPr>
                <w:rFonts w:ascii="Calibri" w:hAnsi="Calibri" w:cs="Calibri"/>
              </w:rPr>
              <w:t>COhost</w:t>
            </w:r>
          </w:p>
        </w:tc>
        <w:tc>
          <w:tcPr>
            <w:tcW w:w="3330" w:type="dxa"/>
            <w:vAlign w:val="center"/>
          </w:tcPr>
          <w:p w14:paraId="2FB9C50B" w14:textId="7EBFE8D2" w:rsidR="00125C85" w:rsidRDefault="005E24CE" w:rsidP="00125C85">
            <w:r w:rsidRPr="005E24CE">
              <w:t>The Belt and Road Initiative Reference Source</w:t>
            </w:r>
          </w:p>
        </w:tc>
        <w:tc>
          <w:tcPr>
            <w:tcW w:w="1628" w:type="dxa"/>
            <w:vAlign w:val="center"/>
          </w:tcPr>
          <w:p w14:paraId="04C8F39E" w14:textId="2353C9EF" w:rsidR="00125C85" w:rsidRDefault="005E24CE" w:rsidP="00125C85">
            <w:pPr>
              <w:jc w:val="center"/>
            </w:pPr>
            <w:r>
              <w:t>V</w:t>
            </w:r>
          </w:p>
        </w:tc>
        <w:tc>
          <w:tcPr>
            <w:tcW w:w="1432" w:type="dxa"/>
            <w:vAlign w:val="center"/>
          </w:tcPr>
          <w:p w14:paraId="2C36A5DA" w14:textId="77777777" w:rsidR="00125C85" w:rsidRDefault="00125C85" w:rsidP="00125C85">
            <w:pPr>
              <w:jc w:val="center"/>
            </w:pPr>
          </w:p>
        </w:tc>
        <w:tc>
          <w:tcPr>
            <w:tcW w:w="1980" w:type="dxa"/>
            <w:vAlign w:val="center"/>
          </w:tcPr>
          <w:p w14:paraId="4785718A" w14:textId="48E88DE4" w:rsidR="00125C85" w:rsidRDefault="00125C85" w:rsidP="00125C85"/>
        </w:tc>
      </w:tr>
      <w:tr w:rsidR="00125C85" w14:paraId="767A324C" w14:textId="77777777" w:rsidTr="003B12C8">
        <w:tc>
          <w:tcPr>
            <w:tcW w:w="1975" w:type="dxa"/>
            <w:vAlign w:val="center"/>
          </w:tcPr>
          <w:p w14:paraId="719BCC13" w14:textId="20A72B19" w:rsidR="00125C85" w:rsidRDefault="005E24CE" w:rsidP="00125C85">
            <w:pPr>
              <w:rPr>
                <w:rFonts w:ascii="Calibri" w:hAnsi="Calibri" w:cs="Calibri"/>
              </w:rPr>
            </w:pPr>
            <w:r w:rsidRPr="005E24CE">
              <w:rPr>
                <w:rFonts w:ascii="Calibri" w:hAnsi="Calibri" w:cs="Calibri"/>
              </w:rPr>
              <w:t>Walter de Gruyter</w:t>
            </w:r>
          </w:p>
        </w:tc>
        <w:tc>
          <w:tcPr>
            <w:tcW w:w="3330" w:type="dxa"/>
            <w:vAlign w:val="center"/>
          </w:tcPr>
          <w:p w14:paraId="00F0F350" w14:textId="1CCD31F0" w:rsidR="00125C85" w:rsidRPr="00576C0B" w:rsidRDefault="005E24CE" w:rsidP="00125C85">
            <w:r>
              <w:t>Multiple collections (</w:t>
            </w:r>
            <w:r>
              <w:t>15)</w:t>
            </w:r>
          </w:p>
        </w:tc>
        <w:tc>
          <w:tcPr>
            <w:tcW w:w="1628" w:type="dxa"/>
            <w:vAlign w:val="center"/>
          </w:tcPr>
          <w:p w14:paraId="36B2E1A9" w14:textId="07018DEC" w:rsidR="00125C85" w:rsidRDefault="005E24CE" w:rsidP="00125C85">
            <w:pPr>
              <w:jc w:val="center"/>
            </w:pPr>
            <w:r>
              <w:t>V</w:t>
            </w:r>
          </w:p>
        </w:tc>
        <w:tc>
          <w:tcPr>
            <w:tcW w:w="1432" w:type="dxa"/>
            <w:vAlign w:val="center"/>
          </w:tcPr>
          <w:p w14:paraId="0787E093" w14:textId="77777777" w:rsidR="00125C85" w:rsidRDefault="00125C85" w:rsidP="00125C85">
            <w:pPr>
              <w:jc w:val="center"/>
            </w:pPr>
          </w:p>
        </w:tc>
        <w:tc>
          <w:tcPr>
            <w:tcW w:w="1980" w:type="dxa"/>
            <w:vAlign w:val="center"/>
          </w:tcPr>
          <w:p w14:paraId="02BF0D9F" w14:textId="087862CB" w:rsidR="00125C85" w:rsidRDefault="005E24CE" w:rsidP="00125C85">
            <w:proofErr w:type="spellStart"/>
            <w:r>
              <w:t>hbz</w:t>
            </w:r>
            <w:proofErr w:type="spellEnd"/>
            <w:r>
              <w:t xml:space="preserve"> regional content</w:t>
            </w:r>
          </w:p>
        </w:tc>
      </w:tr>
      <w:tr w:rsidR="00125C85" w14:paraId="06E1227A" w14:textId="77777777" w:rsidTr="003B12C8">
        <w:tc>
          <w:tcPr>
            <w:tcW w:w="1975" w:type="dxa"/>
            <w:vAlign w:val="center"/>
          </w:tcPr>
          <w:p w14:paraId="0889B2F1" w14:textId="67196492" w:rsidR="00125C85" w:rsidRPr="00576C0B" w:rsidRDefault="00B6060A" w:rsidP="00125C85">
            <w:pPr>
              <w:rPr>
                <w:rFonts w:ascii="Calibri" w:hAnsi="Calibri" w:cs="Calibri"/>
              </w:rPr>
            </w:pPr>
            <w:r w:rsidRPr="00B6060A">
              <w:rPr>
                <w:rFonts w:ascii="Calibri" w:hAnsi="Calibri" w:cs="Calibri"/>
              </w:rPr>
              <w:t>Taylor &amp; Francis</w:t>
            </w:r>
          </w:p>
        </w:tc>
        <w:tc>
          <w:tcPr>
            <w:tcW w:w="3330" w:type="dxa"/>
            <w:vAlign w:val="center"/>
          </w:tcPr>
          <w:p w14:paraId="25A27A51" w14:textId="5C473DD7" w:rsidR="00125C85" w:rsidRDefault="00B6060A" w:rsidP="00125C85">
            <w:r>
              <w:t>Modern Archive collections (4)</w:t>
            </w:r>
          </w:p>
        </w:tc>
        <w:tc>
          <w:tcPr>
            <w:tcW w:w="1628" w:type="dxa"/>
            <w:vAlign w:val="center"/>
          </w:tcPr>
          <w:p w14:paraId="653B3E71" w14:textId="341C479C" w:rsidR="00125C85" w:rsidRDefault="00B6060A" w:rsidP="00125C85">
            <w:pPr>
              <w:jc w:val="center"/>
            </w:pPr>
            <w:r>
              <w:t>V</w:t>
            </w:r>
          </w:p>
        </w:tc>
        <w:tc>
          <w:tcPr>
            <w:tcW w:w="1432" w:type="dxa"/>
            <w:vAlign w:val="center"/>
          </w:tcPr>
          <w:p w14:paraId="2CD76269" w14:textId="77777777" w:rsidR="00125C85" w:rsidRDefault="00125C85" w:rsidP="00125C85">
            <w:pPr>
              <w:jc w:val="center"/>
            </w:pPr>
          </w:p>
        </w:tc>
        <w:tc>
          <w:tcPr>
            <w:tcW w:w="1980" w:type="dxa"/>
            <w:vAlign w:val="center"/>
          </w:tcPr>
          <w:p w14:paraId="5DE720C6" w14:textId="77777777" w:rsidR="00125C85" w:rsidRDefault="00125C85" w:rsidP="00125C85"/>
        </w:tc>
      </w:tr>
      <w:tr w:rsidR="00125C85" w14:paraId="595FEDAD" w14:textId="77777777" w:rsidTr="003B12C8">
        <w:tc>
          <w:tcPr>
            <w:tcW w:w="1975" w:type="dxa"/>
            <w:vAlign w:val="center"/>
          </w:tcPr>
          <w:p w14:paraId="605218D9" w14:textId="24C66A3C" w:rsidR="00125C85" w:rsidRDefault="00B6060A" w:rsidP="00125C85">
            <w:pPr>
              <w:rPr>
                <w:rFonts w:ascii="Calibri" w:hAnsi="Calibri" w:cs="Calibri"/>
              </w:rPr>
            </w:pPr>
            <w:r>
              <w:rPr>
                <w:rFonts w:ascii="Calibri" w:hAnsi="Calibri" w:cs="Calibri"/>
              </w:rPr>
              <w:t>BACON</w:t>
            </w:r>
          </w:p>
        </w:tc>
        <w:tc>
          <w:tcPr>
            <w:tcW w:w="3330" w:type="dxa"/>
            <w:vAlign w:val="center"/>
          </w:tcPr>
          <w:p w14:paraId="489028A7" w14:textId="50BEBB6B" w:rsidR="00125C85" w:rsidRDefault="00B6060A" w:rsidP="00125C85">
            <w:r>
              <w:t>Multiple collections (</w:t>
            </w:r>
            <w:r>
              <w:t>50)</w:t>
            </w:r>
          </w:p>
        </w:tc>
        <w:tc>
          <w:tcPr>
            <w:tcW w:w="1628" w:type="dxa"/>
            <w:vAlign w:val="center"/>
          </w:tcPr>
          <w:p w14:paraId="5D74771E" w14:textId="4028D0BD" w:rsidR="00125C85" w:rsidRDefault="00B6060A" w:rsidP="00125C85">
            <w:pPr>
              <w:jc w:val="center"/>
            </w:pPr>
            <w:r>
              <w:t>V</w:t>
            </w:r>
          </w:p>
        </w:tc>
        <w:tc>
          <w:tcPr>
            <w:tcW w:w="1432" w:type="dxa"/>
            <w:vAlign w:val="center"/>
          </w:tcPr>
          <w:p w14:paraId="580A9BAE" w14:textId="77777777" w:rsidR="00125C85" w:rsidRDefault="00125C85" w:rsidP="00125C85">
            <w:pPr>
              <w:jc w:val="center"/>
            </w:pPr>
          </w:p>
        </w:tc>
        <w:tc>
          <w:tcPr>
            <w:tcW w:w="1980" w:type="dxa"/>
            <w:vAlign w:val="center"/>
          </w:tcPr>
          <w:p w14:paraId="2A033DA0" w14:textId="1BA9F07B" w:rsidR="00125C85" w:rsidRDefault="00B6060A" w:rsidP="00125C85">
            <w:r>
              <w:t>ACEF regional content</w:t>
            </w:r>
          </w:p>
        </w:tc>
      </w:tr>
    </w:tbl>
    <w:p w14:paraId="70D4CFE0" w14:textId="2F37C03C" w:rsidR="00C56860" w:rsidRDefault="00C56860"/>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64A0"/>
    <w:rsid w:val="00027784"/>
    <w:rsid w:val="00040750"/>
    <w:rsid w:val="00040A6B"/>
    <w:rsid w:val="000563E7"/>
    <w:rsid w:val="0006334A"/>
    <w:rsid w:val="000665C9"/>
    <w:rsid w:val="00066FD8"/>
    <w:rsid w:val="00077D60"/>
    <w:rsid w:val="000901C2"/>
    <w:rsid w:val="000D4A09"/>
    <w:rsid w:val="000F1872"/>
    <w:rsid w:val="00105B34"/>
    <w:rsid w:val="00111906"/>
    <w:rsid w:val="001227B9"/>
    <w:rsid w:val="00125C85"/>
    <w:rsid w:val="00146FED"/>
    <w:rsid w:val="00147F09"/>
    <w:rsid w:val="0015723A"/>
    <w:rsid w:val="00180D83"/>
    <w:rsid w:val="00181544"/>
    <w:rsid w:val="00186829"/>
    <w:rsid w:val="00195C5C"/>
    <w:rsid w:val="001C68B3"/>
    <w:rsid w:val="001D72E7"/>
    <w:rsid w:val="001E0ACE"/>
    <w:rsid w:val="001F2738"/>
    <w:rsid w:val="00220B6C"/>
    <w:rsid w:val="002523A3"/>
    <w:rsid w:val="002540A7"/>
    <w:rsid w:val="0026516D"/>
    <w:rsid w:val="002717A1"/>
    <w:rsid w:val="00276A7C"/>
    <w:rsid w:val="002945DD"/>
    <w:rsid w:val="002A0FDB"/>
    <w:rsid w:val="002A1DAD"/>
    <w:rsid w:val="002A1DFD"/>
    <w:rsid w:val="002B255E"/>
    <w:rsid w:val="002D3CF4"/>
    <w:rsid w:val="002F054F"/>
    <w:rsid w:val="00304D5A"/>
    <w:rsid w:val="00345951"/>
    <w:rsid w:val="00353D0A"/>
    <w:rsid w:val="00360A28"/>
    <w:rsid w:val="00361478"/>
    <w:rsid w:val="00361A1C"/>
    <w:rsid w:val="00370D8E"/>
    <w:rsid w:val="00375AD0"/>
    <w:rsid w:val="00382045"/>
    <w:rsid w:val="0038375E"/>
    <w:rsid w:val="00385C43"/>
    <w:rsid w:val="00394C3D"/>
    <w:rsid w:val="003A0749"/>
    <w:rsid w:val="003A352F"/>
    <w:rsid w:val="003B12C8"/>
    <w:rsid w:val="003B2DD0"/>
    <w:rsid w:val="003B4A05"/>
    <w:rsid w:val="003B6359"/>
    <w:rsid w:val="003B6383"/>
    <w:rsid w:val="003C0B68"/>
    <w:rsid w:val="003C21F3"/>
    <w:rsid w:val="003D2620"/>
    <w:rsid w:val="003D65FD"/>
    <w:rsid w:val="003D7E3F"/>
    <w:rsid w:val="003F1F26"/>
    <w:rsid w:val="004028FF"/>
    <w:rsid w:val="00420498"/>
    <w:rsid w:val="004228C5"/>
    <w:rsid w:val="004349F1"/>
    <w:rsid w:val="004372E4"/>
    <w:rsid w:val="00453332"/>
    <w:rsid w:val="004548F6"/>
    <w:rsid w:val="00460CE9"/>
    <w:rsid w:val="004727DE"/>
    <w:rsid w:val="00473DD8"/>
    <w:rsid w:val="00475DB8"/>
    <w:rsid w:val="00475E7D"/>
    <w:rsid w:val="004B7D16"/>
    <w:rsid w:val="004D707F"/>
    <w:rsid w:val="004E0114"/>
    <w:rsid w:val="004F147F"/>
    <w:rsid w:val="004F342A"/>
    <w:rsid w:val="00515C48"/>
    <w:rsid w:val="00520603"/>
    <w:rsid w:val="00523020"/>
    <w:rsid w:val="00524D8A"/>
    <w:rsid w:val="00540B19"/>
    <w:rsid w:val="005547AC"/>
    <w:rsid w:val="00564EAA"/>
    <w:rsid w:val="00567079"/>
    <w:rsid w:val="00574773"/>
    <w:rsid w:val="0057695D"/>
    <w:rsid w:val="00576C0B"/>
    <w:rsid w:val="00583404"/>
    <w:rsid w:val="005B2800"/>
    <w:rsid w:val="005C7B23"/>
    <w:rsid w:val="005E24CE"/>
    <w:rsid w:val="0060666B"/>
    <w:rsid w:val="00611041"/>
    <w:rsid w:val="006200B1"/>
    <w:rsid w:val="006259E7"/>
    <w:rsid w:val="00631C78"/>
    <w:rsid w:val="00634247"/>
    <w:rsid w:val="00653907"/>
    <w:rsid w:val="006604A9"/>
    <w:rsid w:val="006608B5"/>
    <w:rsid w:val="00662201"/>
    <w:rsid w:val="00670BDD"/>
    <w:rsid w:val="00677CF1"/>
    <w:rsid w:val="0069222D"/>
    <w:rsid w:val="00696A51"/>
    <w:rsid w:val="006A7C89"/>
    <w:rsid w:val="006B5A7B"/>
    <w:rsid w:val="006B6FB8"/>
    <w:rsid w:val="006B7F1E"/>
    <w:rsid w:val="006C42EE"/>
    <w:rsid w:val="006E4C9B"/>
    <w:rsid w:val="00701B1A"/>
    <w:rsid w:val="00721107"/>
    <w:rsid w:val="007339F2"/>
    <w:rsid w:val="00762642"/>
    <w:rsid w:val="00764066"/>
    <w:rsid w:val="00772716"/>
    <w:rsid w:val="00773D86"/>
    <w:rsid w:val="00782E59"/>
    <w:rsid w:val="007935F9"/>
    <w:rsid w:val="007978B3"/>
    <w:rsid w:val="007C72F8"/>
    <w:rsid w:val="007C78B0"/>
    <w:rsid w:val="007F566D"/>
    <w:rsid w:val="00814CCB"/>
    <w:rsid w:val="00816152"/>
    <w:rsid w:val="00824F8B"/>
    <w:rsid w:val="00827E89"/>
    <w:rsid w:val="00861B35"/>
    <w:rsid w:val="00880524"/>
    <w:rsid w:val="00885CAB"/>
    <w:rsid w:val="0089339E"/>
    <w:rsid w:val="008B3CFD"/>
    <w:rsid w:val="008D243C"/>
    <w:rsid w:val="008E7E8E"/>
    <w:rsid w:val="008F51E7"/>
    <w:rsid w:val="00904DA2"/>
    <w:rsid w:val="00906F14"/>
    <w:rsid w:val="00916059"/>
    <w:rsid w:val="009178BE"/>
    <w:rsid w:val="009204C4"/>
    <w:rsid w:val="00925C38"/>
    <w:rsid w:val="00926923"/>
    <w:rsid w:val="00947D46"/>
    <w:rsid w:val="00955E64"/>
    <w:rsid w:val="00971FE9"/>
    <w:rsid w:val="009737BF"/>
    <w:rsid w:val="0099011A"/>
    <w:rsid w:val="009904A6"/>
    <w:rsid w:val="009931D2"/>
    <w:rsid w:val="00993235"/>
    <w:rsid w:val="00994340"/>
    <w:rsid w:val="009977C8"/>
    <w:rsid w:val="00997B75"/>
    <w:rsid w:val="009A4888"/>
    <w:rsid w:val="009C469F"/>
    <w:rsid w:val="009C4805"/>
    <w:rsid w:val="009C6B59"/>
    <w:rsid w:val="009E6904"/>
    <w:rsid w:val="009F60ED"/>
    <w:rsid w:val="00A02EF9"/>
    <w:rsid w:val="00A16C45"/>
    <w:rsid w:val="00A1799D"/>
    <w:rsid w:val="00A24F73"/>
    <w:rsid w:val="00A321D1"/>
    <w:rsid w:val="00A44A19"/>
    <w:rsid w:val="00A62413"/>
    <w:rsid w:val="00A75E50"/>
    <w:rsid w:val="00A94892"/>
    <w:rsid w:val="00AA2AD6"/>
    <w:rsid w:val="00AA3C01"/>
    <w:rsid w:val="00AC0704"/>
    <w:rsid w:val="00AC40BD"/>
    <w:rsid w:val="00AD0BFA"/>
    <w:rsid w:val="00AD4AD3"/>
    <w:rsid w:val="00AF2B1F"/>
    <w:rsid w:val="00AF6730"/>
    <w:rsid w:val="00B14D1A"/>
    <w:rsid w:val="00B21C4F"/>
    <w:rsid w:val="00B30A4C"/>
    <w:rsid w:val="00B56068"/>
    <w:rsid w:val="00B6060A"/>
    <w:rsid w:val="00B62ABB"/>
    <w:rsid w:val="00B63212"/>
    <w:rsid w:val="00B63F9A"/>
    <w:rsid w:val="00B706FD"/>
    <w:rsid w:val="00B76F6F"/>
    <w:rsid w:val="00B83B89"/>
    <w:rsid w:val="00B84479"/>
    <w:rsid w:val="00B8475D"/>
    <w:rsid w:val="00B87654"/>
    <w:rsid w:val="00BA270D"/>
    <w:rsid w:val="00BA7221"/>
    <w:rsid w:val="00BB7420"/>
    <w:rsid w:val="00BC0E9F"/>
    <w:rsid w:val="00BE53C2"/>
    <w:rsid w:val="00BF3D21"/>
    <w:rsid w:val="00BF46B2"/>
    <w:rsid w:val="00BF4884"/>
    <w:rsid w:val="00C0095C"/>
    <w:rsid w:val="00C15458"/>
    <w:rsid w:val="00C2397C"/>
    <w:rsid w:val="00C34CCD"/>
    <w:rsid w:val="00C41784"/>
    <w:rsid w:val="00C51D75"/>
    <w:rsid w:val="00C56860"/>
    <w:rsid w:val="00C57892"/>
    <w:rsid w:val="00C605E4"/>
    <w:rsid w:val="00C87027"/>
    <w:rsid w:val="00C91710"/>
    <w:rsid w:val="00CA42DD"/>
    <w:rsid w:val="00CB1D48"/>
    <w:rsid w:val="00CB4010"/>
    <w:rsid w:val="00CD488A"/>
    <w:rsid w:val="00CE1333"/>
    <w:rsid w:val="00CF3030"/>
    <w:rsid w:val="00CF3D70"/>
    <w:rsid w:val="00D03FAA"/>
    <w:rsid w:val="00D34EE7"/>
    <w:rsid w:val="00D763BF"/>
    <w:rsid w:val="00D873C0"/>
    <w:rsid w:val="00D87D40"/>
    <w:rsid w:val="00DA48EC"/>
    <w:rsid w:val="00DE5CE5"/>
    <w:rsid w:val="00DE6B13"/>
    <w:rsid w:val="00E0194D"/>
    <w:rsid w:val="00E053C1"/>
    <w:rsid w:val="00E05A1B"/>
    <w:rsid w:val="00E070C3"/>
    <w:rsid w:val="00E15B72"/>
    <w:rsid w:val="00E22F0C"/>
    <w:rsid w:val="00E231C5"/>
    <w:rsid w:val="00E24F52"/>
    <w:rsid w:val="00E31D29"/>
    <w:rsid w:val="00E364EE"/>
    <w:rsid w:val="00E428DD"/>
    <w:rsid w:val="00E474EA"/>
    <w:rsid w:val="00E51567"/>
    <w:rsid w:val="00E559F8"/>
    <w:rsid w:val="00E701ED"/>
    <w:rsid w:val="00E82DDA"/>
    <w:rsid w:val="00E95BBF"/>
    <w:rsid w:val="00E96A53"/>
    <w:rsid w:val="00EA2981"/>
    <w:rsid w:val="00EB1B9B"/>
    <w:rsid w:val="00EB7834"/>
    <w:rsid w:val="00EC12C7"/>
    <w:rsid w:val="00EE0A8A"/>
    <w:rsid w:val="00F03A6F"/>
    <w:rsid w:val="00F0767A"/>
    <w:rsid w:val="00F123B7"/>
    <w:rsid w:val="00F3138D"/>
    <w:rsid w:val="00F319D8"/>
    <w:rsid w:val="00F34620"/>
    <w:rsid w:val="00F34980"/>
    <w:rsid w:val="00F5723B"/>
    <w:rsid w:val="00F709C8"/>
    <w:rsid w:val="00F73AD0"/>
    <w:rsid w:val="00F81A60"/>
    <w:rsid w:val="00FB1B3A"/>
    <w:rsid w:val="00FB27CF"/>
    <w:rsid w:val="00FD0282"/>
    <w:rsid w:val="00FD339F"/>
    <w:rsid w:val="00FF0C96"/>
    <w:rsid w:val="00FF2746"/>
    <w:rsid w:val="00FF3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6D15C635-5C4E-49D7-8F25-E32AD369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375661303">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905800282">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1024132717">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210731050">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ledge.exlibrisgroup.com/Alma/Content_Corner/Supporting_Resources/Alma%3A_Annual_Collections_2021" TargetMode="External"/><Relationship Id="rId5" Type="http://schemas.openxmlformats.org/officeDocument/2006/relationships/numbering" Target="numbering.xml"/><Relationship Id="rId10" Type="http://schemas.openxmlformats.org/officeDocument/2006/relationships/hyperlink" Target="https://knowledge.exlibrisgroup.com/SFX/Content_Corner/Knowledge_Articles/SFX%3A_Annual_Collections_2021" TargetMode="External"/><Relationship Id="rId4" Type="http://schemas.openxmlformats.org/officeDocument/2006/relationships/customXml" Target="../customXml/item4.xml"/><Relationship Id="rId9" Type="http://schemas.openxmlformats.org/officeDocument/2006/relationships/hyperlink" Target="https://knowledge.exlibrisgroup.com/360_KB/Knowledge_Articles/360_KB%3A_Annual_Collections_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FBB0B-13FB-4DA0-8B3D-08E160FF8FD0}">
  <ds:schemaRefs>
    <ds:schemaRef ds:uri="http://schemas.openxmlformats.org/officeDocument/2006/bibliography"/>
  </ds:schemaRefs>
</ds:datastoreItem>
</file>

<file path=customXml/itemProps2.xml><?xml version="1.0" encoding="utf-8"?>
<ds:datastoreItem xmlns:ds="http://schemas.openxmlformats.org/officeDocument/2006/customXml" ds:itemID="{E2AEB620-492D-4A48-8AB7-3F18F70B61CB}">
  <ds:schemaRefs>
    <ds:schemaRef ds:uri="http://schemas.microsoft.com/office/2006/metadata/properties"/>
    <ds:schemaRef ds:uri="http://schemas.microsoft.com/office/2006/documentManagement/types"/>
    <ds:schemaRef ds:uri="38e1cc99-e203-4365-a43e-4b8c5fbfadac"/>
    <ds:schemaRef ds:uri="ca890ac0-05c3-404d-bdc6-32e25bff8c4a"/>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DCB36-3505-4D88-9555-8F803344B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9082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cp:lastModifiedBy>
  <cp:revision>32</cp:revision>
  <dcterms:created xsi:type="dcterms:W3CDTF">2020-12-31T13:14:00Z</dcterms:created>
  <dcterms:modified xsi:type="dcterms:W3CDTF">2021-03-14T07:55:00Z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