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711005" w14:paraId="161194DD" w14:textId="77777777" w:rsidTr="00B56455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32768A8D" w14:textId="77777777" w:rsidR="00711005" w:rsidRPr="00632D68" w:rsidRDefault="00824CCA" w:rsidP="00824CCA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36"/>
                <w:szCs w:val="36"/>
              </w:rPr>
              <w:t>Acquisitions exchange - Suggested best practices workflow</w:t>
            </w:r>
          </w:p>
        </w:tc>
        <w:tc>
          <w:tcPr>
            <w:tcW w:w="1968" w:type="dxa"/>
          </w:tcPr>
          <w:p w14:paraId="08ADFEB8" w14:textId="77777777" w:rsidR="00711005" w:rsidRDefault="00711005" w:rsidP="005D0B58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491BC3F6" wp14:editId="49398524">
                  <wp:extent cx="1043832" cy="56197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05" w14:paraId="04BD6ACC" w14:textId="77777777" w:rsidTr="00B56455">
        <w:tc>
          <w:tcPr>
            <w:tcW w:w="10987" w:type="dxa"/>
            <w:gridSpan w:val="2"/>
            <w:shd w:val="clear" w:color="auto" w:fill="auto"/>
            <w:vAlign w:val="center"/>
          </w:tcPr>
          <w:p w14:paraId="3B88A8B8" w14:textId="77777777" w:rsidR="00711005" w:rsidRPr="004E16EB" w:rsidRDefault="00711005" w:rsidP="005D0B58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14:paraId="71B6C050" w14:textId="77777777" w:rsidR="00711005" w:rsidRDefault="00711005" w:rsidP="00711005">
      <w:pPr>
        <w:pStyle w:val="NoSpacing"/>
      </w:pPr>
    </w:p>
    <w:p w14:paraId="0AFCC3B6" w14:textId="77777777" w:rsidR="00711005" w:rsidRDefault="00711005" w:rsidP="00711005">
      <w:pPr>
        <w:pStyle w:val="NoSpacing"/>
      </w:pPr>
      <w:r>
        <w:rPr>
          <w:noProof/>
          <w:lang w:val="en-US" w:eastAsia="en-US" w:bidi="he-IL"/>
        </w:rPr>
        <w:drawing>
          <wp:inline distT="0" distB="0" distL="0" distR="0" wp14:anchorId="3EB58893" wp14:editId="554548B7">
            <wp:extent cx="6949440" cy="13328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3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E055" w14:textId="77777777" w:rsidR="00711005" w:rsidRDefault="00711005" w:rsidP="00711005">
      <w:pPr>
        <w:pStyle w:val="NoSpacing"/>
      </w:pPr>
    </w:p>
    <w:p w14:paraId="2366CDBC" w14:textId="77777777" w:rsidR="00711005" w:rsidRDefault="00711005" w:rsidP="0015767F">
      <w:pPr>
        <w:pStyle w:val="NoSpacing"/>
        <w:jc w:val="center"/>
        <w:rPr>
          <w:b/>
          <w:bCs/>
        </w:rPr>
      </w:pPr>
    </w:p>
    <w:p w14:paraId="39EF6942" w14:textId="77777777" w:rsidR="009D6E89" w:rsidRDefault="009D6E89" w:rsidP="005F421B">
      <w:pPr>
        <w:pStyle w:val="NoSpacing"/>
      </w:pPr>
    </w:p>
    <w:p w14:paraId="30A5D927" w14:textId="77777777" w:rsidR="005F421B" w:rsidRPr="005D0B58" w:rsidRDefault="006B4C31" w:rsidP="005F421B">
      <w:pPr>
        <w:pStyle w:val="NoSpacing"/>
        <w:rPr>
          <w:rFonts w:asciiTheme="minorBidi" w:hAnsiTheme="minorBidi"/>
          <w:b/>
          <w:bCs/>
        </w:rPr>
      </w:pPr>
      <w:r w:rsidRPr="005D0B58">
        <w:rPr>
          <w:rFonts w:asciiTheme="minorBidi" w:hAnsiTheme="minorBidi"/>
          <w:b/>
          <w:bCs/>
        </w:rPr>
        <w:t>Introduction:</w:t>
      </w:r>
    </w:p>
    <w:p w14:paraId="65886E47" w14:textId="77777777" w:rsidR="006B4C31" w:rsidRPr="005D0B58" w:rsidRDefault="006B4C31" w:rsidP="00B655C5">
      <w:pPr>
        <w:rPr>
          <w:rFonts w:asciiTheme="minorBidi" w:hAnsiTheme="minorBidi"/>
          <w:lang w:val="en-GB"/>
        </w:rPr>
      </w:pPr>
      <w:r w:rsidRPr="005D0B58">
        <w:rPr>
          <w:rFonts w:asciiTheme="minorBidi" w:hAnsiTheme="minorBidi"/>
        </w:rPr>
        <w:t xml:space="preserve">This workflow refers to a </w:t>
      </w:r>
      <w:r w:rsidRPr="005D0B58">
        <w:rPr>
          <w:rFonts w:asciiTheme="minorBidi" w:hAnsiTheme="minorBidi"/>
          <w:lang w:val="en-GB"/>
        </w:rPr>
        <w:t xml:space="preserve">library </w:t>
      </w:r>
      <w:r w:rsidR="00B655C5">
        <w:rPr>
          <w:rFonts w:asciiTheme="minorBidi" w:hAnsiTheme="minorBidi"/>
          <w:lang w:val="en-GB"/>
        </w:rPr>
        <w:t xml:space="preserve">(perhaps a museum) </w:t>
      </w:r>
      <w:r w:rsidRPr="005D0B58">
        <w:rPr>
          <w:rFonts w:asciiTheme="minorBidi" w:hAnsiTheme="minorBidi"/>
          <w:lang w:val="en-GB"/>
        </w:rPr>
        <w:t>which has a</w:t>
      </w:r>
      <w:r w:rsidR="00B655C5">
        <w:rPr>
          <w:rFonts w:asciiTheme="minorBidi" w:hAnsiTheme="minorBidi"/>
          <w:lang w:val="en-GB"/>
        </w:rPr>
        <w:t>n</w:t>
      </w:r>
      <w:r w:rsidRPr="005D0B58">
        <w:rPr>
          <w:rFonts w:asciiTheme="minorBidi" w:hAnsiTheme="minorBidi"/>
          <w:lang w:val="en-GB"/>
        </w:rPr>
        <w:t xml:space="preserve"> exchange programme whereby the library both receives and sends out titles as exchanges.  In the case here </w:t>
      </w:r>
      <w:r w:rsidR="00B655C5">
        <w:rPr>
          <w:rFonts w:asciiTheme="minorBidi" w:hAnsiTheme="minorBidi"/>
          <w:lang w:val="en-GB"/>
        </w:rPr>
        <w:t xml:space="preserve">it is irrelevant whether or not </w:t>
      </w:r>
      <w:r w:rsidRPr="005D0B58">
        <w:rPr>
          <w:rFonts w:asciiTheme="minorBidi" w:hAnsiTheme="minorBidi"/>
          <w:lang w:val="en-GB"/>
        </w:rPr>
        <w:t xml:space="preserve">the ‘other libraries’ do </w:t>
      </w:r>
      <w:r w:rsidR="00B655C5">
        <w:rPr>
          <w:rFonts w:asciiTheme="minorBidi" w:hAnsiTheme="minorBidi"/>
          <w:lang w:val="en-GB"/>
        </w:rPr>
        <w:t>or do not use</w:t>
      </w:r>
      <w:r w:rsidRPr="005D0B58">
        <w:rPr>
          <w:rFonts w:asciiTheme="minorBidi" w:hAnsiTheme="minorBidi"/>
          <w:lang w:val="en-GB"/>
        </w:rPr>
        <w:t xml:space="preserve"> Alma.</w:t>
      </w:r>
    </w:p>
    <w:p w14:paraId="3DFB9414" w14:textId="77777777" w:rsidR="006B4C31" w:rsidRPr="005D0B58" w:rsidRDefault="006B4C31" w:rsidP="006B4C31">
      <w:pPr>
        <w:rPr>
          <w:rFonts w:asciiTheme="minorBidi" w:hAnsiTheme="minorBidi"/>
          <w:lang w:val="en-GB"/>
        </w:rPr>
      </w:pPr>
      <w:r w:rsidRPr="005D0B58">
        <w:rPr>
          <w:rFonts w:asciiTheme="minorBidi" w:hAnsiTheme="minorBidi"/>
          <w:lang w:val="en-GB"/>
        </w:rPr>
        <w:t>Below is our ‘best practices’ recommendation/workflow.</w:t>
      </w:r>
    </w:p>
    <w:p w14:paraId="776C8786" w14:textId="77777777" w:rsidR="005F421B" w:rsidRPr="005D0B58" w:rsidRDefault="006B4C31" w:rsidP="005F421B">
      <w:pPr>
        <w:pStyle w:val="NoSpacing"/>
        <w:rPr>
          <w:rFonts w:asciiTheme="minorBidi" w:hAnsiTheme="minorBidi"/>
          <w:b/>
          <w:bCs/>
        </w:rPr>
      </w:pPr>
      <w:r w:rsidRPr="005D0B58">
        <w:rPr>
          <w:rFonts w:asciiTheme="minorBidi" w:hAnsiTheme="minorBidi"/>
          <w:b/>
          <w:bCs/>
        </w:rPr>
        <w:t>Workflow:</w:t>
      </w:r>
    </w:p>
    <w:p w14:paraId="19980BBB" w14:textId="77777777" w:rsidR="00391632" w:rsidRDefault="006B4C31" w:rsidP="00B655C5">
      <w:pPr>
        <w:pStyle w:val="NoSpacing"/>
        <w:rPr>
          <w:rFonts w:asciiTheme="minorBidi" w:hAnsiTheme="minorBidi"/>
        </w:rPr>
      </w:pPr>
      <w:r w:rsidRPr="005D0B58">
        <w:rPr>
          <w:rFonts w:asciiTheme="minorBidi" w:hAnsiTheme="minorBidi"/>
        </w:rPr>
        <w:t>For purposes of this document we will call ou</w:t>
      </w:r>
      <w:r w:rsidR="00B655C5">
        <w:rPr>
          <w:rFonts w:asciiTheme="minorBidi" w:hAnsiTheme="minorBidi"/>
        </w:rPr>
        <w:t>r</w:t>
      </w:r>
      <w:r w:rsidRPr="005D0B58">
        <w:rPr>
          <w:rFonts w:asciiTheme="minorBidi" w:hAnsiTheme="minorBidi"/>
        </w:rPr>
        <w:t xml:space="preserve"> institutions ‘Institution A</w:t>
      </w:r>
      <w:r w:rsidR="005D0B58" w:rsidRPr="005D0B58">
        <w:rPr>
          <w:rFonts w:asciiTheme="minorBidi" w:hAnsiTheme="minorBidi"/>
        </w:rPr>
        <w:t>’</w:t>
      </w:r>
      <w:r w:rsidRPr="005D0B58">
        <w:rPr>
          <w:rFonts w:asciiTheme="minorBidi" w:hAnsiTheme="minorBidi"/>
        </w:rPr>
        <w:t xml:space="preserve"> and </w:t>
      </w:r>
      <w:r w:rsidR="005D0B58" w:rsidRPr="005D0B58">
        <w:rPr>
          <w:rFonts w:asciiTheme="minorBidi" w:hAnsiTheme="minorBidi"/>
        </w:rPr>
        <w:t>‘Institution B’.</w:t>
      </w:r>
    </w:p>
    <w:p w14:paraId="7906B5B5" w14:textId="77777777" w:rsidR="00A323FF" w:rsidRPr="005D0B58" w:rsidRDefault="00A323FF" w:rsidP="00A323FF">
      <w:pPr>
        <w:pStyle w:val="NoSpacing"/>
        <w:rPr>
          <w:rFonts w:asciiTheme="minorBidi" w:hAnsiTheme="minorBidi"/>
        </w:rPr>
      </w:pPr>
    </w:p>
    <w:p w14:paraId="1175EA7A" w14:textId="77777777" w:rsidR="005D0B58" w:rsidRPr="00A323FF" w:rsidRDefault="005D0B58" w:rsidP="00A323FF">
      <w:pPr>
        <w:pStyle w:val="NoSpacing"/>
        <w:numPr>
          <w:ilvl w:val="0"/>
          <w:numId w:val="3"/>
        </w:numPr>
        <w:rPr>
          <w:rFonts w:asciiTheme="minorBidi" w:hAnsiTheme="minorBidi"/>
        </w:rPr>
      </w:pPr>
      <w:r w:rsidRPr="005D0B58">
        <w:rPr>
          <w:rFonts w:asciiTheme="minorBidi" w:hAnsiTheme="minorBidi"/>
        </w:rPr>
        <w:t>In the first case</w:t>
      </w:r>
      <w:r>
        <w:rPr>
          <w:rFonts w:asciiTheme="minorBidi" w:hAnsiTheme="minorBidi"/>
        </w:rPr>
        <w:t xml:space="preserve">: </w:t>
      </w:r>
      <w:r w:rsidRPr="005D0B58">
        <w:rPr>
          <w:rFonts w:asciiTheme="minorBidi" w:hAnsiTheme="minorBidi"/>
        </w:rPr>
        <w:t xml:space="preserve">‘Institution A’ </w:t>
      </w:r>
      <w:r>
        <w:rPr>
          <w:rFonts w:asciiTheme="minorBidi" w:hAnsiTheme="minorBidi"/>
        </w:rPr>
        <w:t>receives a museum catalogue from</w:t>
      </w:r>
      <w:r w:rsidRPr="005D0B58">
        <w:rPr>
          <w:rFonts w:asciiTheme="minorBidi" w:hAnsiTheme="minorBidi"/>
        </w:rPr>
        <w:t xml:space="preserve"> ‘Institution B’.</w:t>
      </w:r>
    </w:p>
    <w:p w14:paraId="73B0F866" w14:textId="77777777" w:rsidR="005D0B58" w:rsidRDefault="005D0B58" w:rsidP="00A323FF">
      <w:pPr>
        <w:pStyle w:val="NoSpacing"/>
        <w:numPr>
          <w:ilvl w:val="0"/>
          <w:numId w:val="3"/>
        </w:numPr>
        <w:rPr>
          <w:rFonts w:asciiTheme="minorBidi" w:hAnsiTheme="minorBidi"/>
        </w:rPr>
      </w:pPr>
      <w:r w:rsidRPr="005D0B58">
        <w:rPr>
          <w:rFonts w:asciiTheme="minorBidi" w:hAnsiTheme="minorBidi"/>
        </w:rPr>
        <w:t xml:space="preserve">In the </w:t>
      </w:r>
      <w:r>
        <w:rPr>
          <w:rFonts w:asciiTheme="minorBidi" w:hAnsiTheme="minorBidi"/>
        </w:rPr>
        <w:t>second</w:t>
      </w:r>
      <w:r w:rsidRPr="005D0B58">
        <w:rPr>
          <w:rFonts w:asciiTheme="minorBidi" w:hAnsiTheme="minorBidi"/>
        </w:rPr>
        <w:t xml:space="preserve"> case</w:t>
      </w:r>
      <w:r>
        <w:rPr>
          <w:rFonts w:asciiTheme="minorBidi" w:hAnsiTheme="minorBidi"/>
        </w:rPr>
        <w:t xml:space="preserve">: </w:t>
      </w:r>
      <w:r w:rsidRPr="005D0B58">
        <w:rPr>
          <w:rFonts w:asciiTheme="minorBidi" w:hAnsiTheme="minorBidi"/>
        </w:rPr>
        <w:t xml:space="preserve">‘Institution A’ </w:t>
      </w:r>
      <w:r>
        <w:rPr>
          <w:rFonts w:asciiTheme="minorBidi" w:hAnsiTheme="minorBidi"/>
        </w:rPr>
        <w:t>sends a museum catalogue to</w:t>
      </w:r>
      <w:r w:rsidRPr="005D0B58">
        <w:rPr>
          <w:rFonts w:asciiTheme="minorBidi" w:hAnsiTheme="minorBidi"/>
        </w:rPr>
        <w:t xml:space="preserve"> ‘Institution B’.</w:t>
      </w:r>
    </w:p>
    <w:p w14:paraId="67365617" w14:textId="77777777" w:rsidR="00A323FF" w:rsidRDefault="00A323FF" w:rsidP="005D0B58">
      <w:pPr>
        <w:pStyle w:val="NoSpacing"/>
        <w:rPr>
          <w:rFonts w:asciiTheme="minorBidi" w:hAnsiTheme="minorBidi"/>
        </w:rPr>
      </w:pPr>
    </w:p>
    <w:p w14:paraId="2A91A612" w14:textId="77777777" w:rsidR="00A323FF" w:rsidRDefault="00A323FF" w:rsidP="00A323F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The first case is very standard and straightforward.  The second case is a little more “involved’ as here the library is, in a sense, acting as a vendor.</w:t>
      </w:r>
    </w:p>
    <w:p w14:paraId="309CC1BA" w14:textId="77777777" w:rsidR="00A323FF" w:rsidRDefault="00A323FF" w:rsidP="005D0B58">
      <w:pPr>
        <w:pStyle w:val="NoSpacing"/>
        <w:rPr>
          <w:rFonts w:asciiTheme="minorBidi" w:hAnsiTheme="minorBidi"/>
        </w:rPr>
      </w:pPr>
    </w:p>
    <w:p w14:paraId="08C0D776" w14:textId="77777777" w:rsidR="005D0B58" w:rsidRDefault="005D0B58" w:rsidP="005D0B58">
      <w:pPr>
        <w:pStyle w:val="NoSpacing"/>
        <w:rPr>
          <w:rFonts w:asciiTheme="minorBidi" w:hAnsiTheme="minorBidi"/>
        </w:rPr>
      </w:pPr>
    </w:p>
    <w:p w14:paraId="69168A01" w14:textId="77777777" w:rsidR="005D0B58" w:rsidRPr="005D0B58" w:rsidRDefault="005D0B58" w:rsidP="005D0B58">
      <w:pPr>
        <w:pStyle w:val="NoSpacing"/>
        <w:rPr>
          <w:rFonts w:asciiTheme="minorBidi" w:hAnsiTheme="minorBidi"/>
          <w:b/>
          <w:bCs/>
          <w:sz w:val="12"/>
          <w:szCs w:val="12"/>
        </w:rPr>
      </w:pPr>
      <w:r w:rsidRPr="005D0B58">
        <w:rPr>
          <w:rFonts w:asciiTheme="minorBidi" w:hAnsiTheme="minorBidi"/>
          <w:b/>
          <w:bCs/>
        </w:rPr>
        <w:t>Case one: ‘Institution A’ receives a museum catalogue from ‘Institution B’.</w:t>
      </w:r>
    </w:p>
    <w:p w14:paraId="20B934C9" w14:textId="77777777" w:rsidR="005D0B58" w:rsidRDefault="005D0B58" w:rsidP="005D0B58">
      <w:pPr>
        <w:pStyle w:val="NoSpacing"/>
        <w:rPr>
          <w:rFonts w:asciiTheme="minorBidi" w:hAnsiTheme="minorBidi"/>
        </w:rPr>
      </w:pPr>
    </w:p>
    <w:p w14:paraId="7C2AD67C" w14:textId="77777777" w:rsidR="005D0B58" w:rsidRPr="005D0B58" w:rsidRDefault="005D0B58" w:rsidP="005D0B58">
      <w:pPr>
        <w:pStyle w:val="NoSpacing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ONE</w:t>
      </w:r>
    </w:p>
    <w:p w14:paraId="12736097" w14:textId="77777777" w:rsidR="005D0B58" w:rsidRDefault="00B655C5" w:rsidP="005D0B5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‘</w:t>
      </w:r>
      <w:r w:rsidR="005D0B58">
        <w:rPr>
          <w:rFonts w:asciiTheme="minorBidi" w:hAnsiTheme="minorBidi"/>
        </w:rPr>
        <w:t>Institution A</w:t>
      </w:r>
      <w:r>
        <w:rPr>
          <w:rFonts w:asciiTheme="minorBidi" w:hAnsiTheme="minorBidi"/>
        </w:rPr>
        <w:t>’</w:t>
      </w:r>
      <w:r w:rsidR="005D0B58">
        <w:rPr>
          <w:rFonts w:asciiTheme="minorBidi" w:hAnsiTheme="minorBidi"/>
        </w:rPr>
        <w:t xml:space="preserve"> adds </w:t>
      </w:r>
      <w:r>
        <w:rPr>
          <w:rFonts w:asciiTheme="minorBidi" w:hAnsiTheme="minorBidi"/>
        </w:rPr>
        <w:t>‘</w:t>
      </w:r>
      <w:r w:rsidR="005D0B58">
        <w:rPr>
          <w:rFonts w:asciiTheme="minorBidi" w:hAnsiTheme="minorBidi"/>
        </w:rPr>
        <w:t>Institution B</w:t>
      </w:r>
      <w:r>
        <w:rPr>
          <w:rFonts w:asciiTheme="minorBidi" w:hAnsiTheme="minorBidi"/>
        </w:rPr>
        <w:t>’</w:t>
      </w:r>
      <w:r w:rsidR="005D0B58">
        <w:rPr>
          <w:rFonts w:asciiTheme="minorBidi" w:hAnsiTheme="minorBidi"/>
        </w:rPr>
        <w:t xml:space="preserve"> to Alma as a vendor.  For </w:t>
      </w:r>
      <w:r w:rsidR="00FD6291">
        <w:rPr>
          <w:rFonts w:asciiTheme="minorBidi" w:hAnsiTheme="minorBidi"/>
        </w:rPr>
        <w:t>example</w:t>
      </w:r>
      <w:r w:rsidR="005D0B58">
        <w:rPr>
          <w:rFonts w:asciiTheme="minorBidi" w:hAnsiTheme="minorBidi"/>
        </w:rPr>
        <w:t>, one of these:</w:t>
      </w:r>
    </w:p>
    <w:p w14:paraId="6F4D38F9" w14:textId="77777777" w:rsidR="005D0B58" w:rsidRDefault="005D0B58" w:rsidP="005D0B58">
      <w:pPr>
        <w:pStyle w:val="NoSpacing"/>
        <w:rPr>
          <w:rFonts w:asciiTheme="minorBidi" w:hAnsiTheme="minorBidi"/>
        </w:rPr>
      </w:pPr>
    </w:p>
    <w:p w14:paraId="008FAA89" w14:textId="77777777" w:rsidR="005D0B58" w:rsidRDefault="005D0B58" w:rsidP="005D0B5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drawing>
          <wp:inline distT="0" distB="0" distL="0" distR="0" wp14:anchorId="5E038219" wp14:editId="47A2EF52">
            <wp:extent cx="5362575" cy="20859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8E09D6" w14:textId="77777777" w:rsidR="005D0B58" w:rsidRDefault="005D0B58" w:rsidP="005D0B58">
      <w:pPr>
        <w:pStyle w:val="NoSpacing"/>
        <w:rPr>
          <w:rFonts w:asciiTheme="minorBidi" w:hAnsiTheme="minorBidi"/>
        </w:rPr>
      </w:pPr>
    </w:p>
    <w:p w14:paraId="3E1C15D5" w14:textId="77777777" w:rsidR="005D0B58" w:rsidRDefault="005D0B58" w:rsidP="005D0B58">
      <w:pPr>
        <w:pStyle w:val="NoSpacing"/>
        <w:rPr>
          <w:rFonts w:asciiTheme="minorBidi" w:hAnsiTheme="minorBidi"/>
        </w:rPr>
      </w:pPr>
    </w:p>
    <w:p w14:paraId="567E6F78" w14:textId="77777777" w:rsidR="005D0B58" w:rsidRDefault="005D0B58" w:rsidP="005D0B58">
      <w:pPr>
        <w:pStyle w:val="NoSpacing"/>
        <w:rPr>
          <w:rFonts w:asciiTheme="minorBidi" w:hAnsiTheme="minorBidi"/>
          <w:b/>
          <w:bCs/>
          <w:u w:val="single"/>
        </w:rPr>
      </w:pPr>
      <w:r w:rsidRPr="005D0B58">
        <w:rPr>
          <w:rFonts w:asciiTheme="minorBidi" w:hAnsiTheme="minorBidi"/>
          <w:b/>
          <w:bCs/>
          <w:u w:val="single"/>
        </w:rPr>
        <w:t>TWO</w:t>
      </w:r>
    </w:p>
    <w:p w14:paraId="4B874415" w14:textId="77777777" w:rsidR="00935618" w:rsidRDefault="00B655C5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‘</w:t>
      </w:r>
      <w:r w:rsidR="00FD6291">
        <w:rPr>
          <w:rFonts w:asciiTheme="minorBidi" w:hAnsiTheme="minorBidi"/>
        </w:rPr>
        <w:t>Institution A</w:t>
      </w:r>
      <w:r>
        <w:rPr>
          <w:rFonts w:asciiTheme="minorBidi" w:hAnsiTheme="minorBidi"/>
        </w:rPr>
        <w:t>’</w:t>
      </w:r>
      <w:r w:rsidR="00FD6291">
        <w:rPr>
          <w:rFonts w:asciiTheme="minorBidi" w:hAnsiTheme="minorBidi"/>
        </w:rPr>
        <w:t xml:space="preserve"> makes an order for the museum catalogue and uses </w:t>
      </w:r>
      <w:r>
        <w:rPr>
          <w:rFonts w:asciiTheme="minorBidi" w:hAnsiTheme="minorBidi"/>
        </w:rPr>
        <w:t>‘</w:t>
      </w:r>
      <w:r w:rsidR="00FD6291">
        <w:rPr>
          <w:rFonts w:asciiTheme="minorBidi" w:hAnsiTheme="minorBidi"/>
        </w:rPr>
        <w:t>institution B</w:t>
      </w:r>
      <w:r>
        <w:rPr>
          <w:rFonts w:asciiTheme="minorBidi" w:hAnsiTheme="minorBidi"/>
        </w:rPr>
        <w:t>’</w:t>
      </w:r>
      <w:r w:rsidR="00FD6291">
        <w:rPr>
          <w:rFonts w:asciiTheme="minorBidi" w:hAnsiTheme="minorBidi"/>
        </w:rPr>
        <w:t xml:space="preserve"> (</w:t>
      </w:r>
      <w:r>
        <w:rPr>
          <w:rFonts w:asciiTheme="minorBidi" w:hAnsiTheme="minorBidi"/>
        </w:rPr>
        <w:t xml:space="preserve">in this case </w:t>
      </w:r>
      <w:r w:rsidR="00FD6291">
        <w:rPr>
          <w:rFonts w:asciiTheme="minorBidi" w:hAnsiTheme="minorBidi"/>
        </w:rPr>
        <w:t xml:space="preserve">the </w:t>
      </w:r>
      <w:r>
        <w:rPr>
          <w:rFonts w:asciiTheme="minorBidi" w:hAnsiTheme="minorBidi"/>
        </w:rPr>
        <w:t xml:space="preserve">‘other </w:t>
      </w:r>
      <w:r w:rsidR="00FD6291">
        <w:rPr>
          <w:rFonts w:asciiTheme="minorBidi" w:hAnsiTheme="minorBidi"/>
        </w:rPr>
        <w:t>museum</w:t>
      </w:r>
      <w:r>
        <w:rPr>
          <w:rFonts w:asciiTheme="minorBidi" w:hAnsiTheme="minorBidi"/>
        </w:rPr>
        <w:t>’</w:t>
      </w:r>
      <w:r w:rsidR="00FD6291">
        <w:rPr>
          <w:rFonts w:asciiTheme="minorBidi" w:hAnsiTheme="minorBidi"/>
        </w:rPr>
        <w:t xml:space="preserve">) as the vendor and makes the purchase type ‘exchange’.  </w:t>
      </w:r>
      <w:r w:rsidR="00935618">
        <w:rPr>
          <w:rFonts w:asciiTheme="minorBidi" w:hAnsiTheme="minorBidi"/>
        </w:rPr>
        <w:t>The ‘purchase type’ could also be ‘gift’ or ‘deposit’ (or whatever the institution desires), but if the library is receiving the item for free then it should be a purchase method which allows for not needing to enter a price or fund</w:t>
      </w:r>
      <w:r>
        <w:rPr>
          <w:rFonts w:asciiTheme="minorBidi" w:hAnsiTheme="minorBidi"/>
        </w:rPr>
        <w:t xml:space="preserve"> in the POL</w:t>
      </w:r>
      <w:r w:rsidR="00935618">
        <w:rPr>
          <w:rFonts w:asciiTheme="minorBidi" w:hAnsiTheme="minorBidi"/>
        </w:rPr>
        <w:t>.</w:t>
      </w:r>
    </w:p>
    <w:p w14:paraId="1F4BAC47" w14:textId="77777777" w:rsidR="00935618" w:rsidRDefault="00935618" w:rsidP="00FD6291">
      <w:pPr>
        <w:pStyle w:val="NoSpacing"/>
        <w:rPr>
          <w:rFonts w:asciiTheme="minorBidi" w:hAnsiTheme="minorBidi"/>
        </w:rPr>
      </w:pPr>
    </w:p>
    <w:p w14:paraId="351CE0AF" w14:textId="77777777" w:rsidR="005D0B58" w:rsidRDefault="00FD6291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The order can be made even after the item arrives, the purpose being to have it recorded for </w:t>
      </w:r>
      <w:r w:rsidR="00B655C5">
        <w:rPr>
          <w:rFonts w:asciiTheme="minorBidi" w:hAnsiTheme="minorBidi"/>
        </w:rPr>
        <w:t xml:space="preserve">later </w:t>
      </w:r>
      <w:r>
        <w:rPr>
          <w:rFonts w:asciiTheme="minorBidi" w:hAnsiTheme="minorBidi"/>
        </w:rPr>
        <w:t>reporting and tracking purposes.</w:t>
      </w:r>
    </w:p>
    <w:p w14:paraId="2FE45897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6627697A" w14:textId="77777777" w:rsidR="00B56455" w:rsidRDefault="00B56455" w:rsidP="00B56455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The item will be ordered from the museum with no price, a reporting code (if desired) which may for example state ‘Museum </w:t>
      </w:r>
      <w:r w:rsidR="00942673">
        <w:rPr>
          <w:rFonts w:asciiTheme="minorBidi" w:hAnsiTheme="minorBidi"/>
        </w:rPr>
        <w:t>Catalogue</w:t>
      </w:r>
      <w:r>
        <w:rPr>
          <w:rFonts w:asciiTheme="minorBidi" w:hAnsiTheme="minorBidi"/>
        </w:rPr>
        <w:t>’, no fund, and acquisition method ‘Exchange’</w:t>
      </w:r>
    </w:p>
    <w:p w14:paraId="1106583F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3B742415" w14:textId="77777777" w:rsidR="00B56455" w:rsidRDefault="00B56455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drawing>
          <wp:inline distT="0" distB="0" distL="0" distR="0" wp14:anchorId="50C3E864" wp14:editId="06B728BC">
            <wp:extent cx="6710683" cy="2657475"/>
            <wp:effectExtent l="19050" t="19050" r="1397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3" cy="2657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990022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15A715A2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45F5B64D" w14:textId="77777777" w:rsidR="00B56455" w:rsidRPr="00B56455" w:rsidRDefault="00B56455" w:rsidP="00FD6291">
      <w:pPr>
        <w:pStyle w:val="NoSpacing"/>
        <w:rPr>
          <w:rFonts w:asciiTheme="minorBidi" w:hAnsiTheme="minorBidi"/>
          <w:b/>
          <w:bCs/>
          <w:u w:val="single"/>
        </w:rPr>
      </w:pPr>
      <w:r w:rsidRPr="00B56455">
        <w:rPr>
          <w:rFonts w:asciiTheme="minorBidi" w:hAnsiTheme="minorBidi"/>
          <w:b/>
          <w:bCs/>
          <w:u w:val="single"/>
        </w:rPr>
        <w:t>THREE</w:t>
      </w:r>
    </w:p>
    <w:p w14:paraId="7E5F88A0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32096E78" w14:textId="77777777" w:rsidR="00FD6291" w:rsidRDefault="00B56455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When the item arrives receive it like all other orders</w:t>
      </w:r>
    </w:p>
    <w:p w14:paraId="2EDFAD50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5608A6FC" w14:textId="77777777" w:rsidR="00B56455" w:rsidRDefault="00B56455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drawing>
          <wp:inline distT="0" distB="0" distL="0" distR="0" wp14:anchorId="3BA2770F" wp14:editId="62BE4E38">
            <wp:extent cx="6638925" cy="156210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FAF1FB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4A21FB41" w14:textId="77777777" w:rsidR="00B56455" w:rsidRPr="00B56455" w:rsidRDefault="00B56455" w:rsidP="00FD6291">
      <w:pPr>
        <w:pStyle w:val="NoSpacing"/>
        <w:rPr>
          <w:rFonts w:asciiTheme="minorBidi" w:hAnsiTheme="minorBidi"/>
          <w:b/>
          <w:bCs/>
          <w:u w:val="single"/>
        </w:rPr>
      </w:pPr>
      <w:r w:rsidRPr="00B56455">
        <w:rPr>
          <w:rFonts w:asciiTheme="minorBidi" w:hAnsiTheme="minorBidi"/>
          <w:b/>
          <w:bCs/>
          <w:u w:val="single"/>
        </w:rPr>
        <w:t>FOUR</w:t>
      </w:r>
    </w:p>
    <w:p w14:paraId="14B0DAFC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5FCDBE60" w14:textId="77777777" w:rsidR="00B56455" w:rsidRDefault="00B56455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After receiving the order is closed and process is complete</w:t>
      </w:r>
    </w:p>
    <w:p w14:paraId="730D57FE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61F5936C" w14:textId="77777777" w:rsidR="00B56455" w:rsidRDefault="00B56455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lastRenderedPageBreak/>
        <w:drawing>
          <wp:inline distT="0" distB="0" distL="0" distR="0" wp14:anchorId="39CB9708" wp14:editId="526DDBD5">
            <wp:extent cx="6681335" cy="2047875"/>
            <wp:effectExtent l="19050" t="19050" r="2476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35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2582A8" w14:textId="77777777" w:rsidR="00B56455" w:rsidRDefault="00B56455" w:rsidP="00FD6291">
      <w:pPr>
        <w:pStyle w:val="NoSpacing"/>
        <w:rPr>
          <w:rFonts w:asciiTheme="minorBidi" w:hAnsiTheme="minorBidi"/>
        </w:rPr>
      </w:pPr>
    </w:p>
    <w:p w14:paraId="2B123A81" w14:textId="77777777" w:rsidR="00B56455" w:rsidRPr="00935618" w:rsidRDefault="00D93ED7" w:rsidP="00FD6291">
      <w:pPr>
        <w:pStyle w:val="NoSpacing"/>
        <w:rPr>
          <w:rFonts w:asciiTheme="minorBidi" w:hAnsiTheme="minorBidi"/>
          <w:b/>
          <w:bCs/>
          <w:u w:val="single"/>
        </w:rPr>
      </w:pPr>
      <w:r w:rsidRPr="00935618">
        <w:rPr>
          <w:rFonts w:asciiTheme="minorBidi" w:hAnsiTheme="minorBidi"/>
          <w:b/>
          <w:bCs/>
          <w:u w:val="single"/>
        </w:rPr>
        <w:t>FIVE</w:t>
      </w:r>
    </w:p>
    <w:p w14:paraId="755B27AC" w14:textId="77777777" w:rsidR="00D93ED7" w:rsidRDefault="00D93ED7" w:rsidP="00FD6291">
      <w:pPr>
        <w:pStyle w:val="NoSpacing"/>
        <w:rPr>
          <w:rFonts w:asciiTheme="minorBidi" w:hAnsiTheme="minorBidi"/>
        </w:rPr>
      </w:pPr>
    </w:p>
    <w:p w14:paraId="450DF642" w14:textId="77777777" w:rsidR="00D93ED7" w:rsidRDefault="00D93ED7" w:rsidP="0093561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In analytics you can do a report </w:t>
      </w:r>
      <w:r w:rsidR="00935618">
        <w:rPr>
          <w:rFonts w:asciiTheme="minorBidi" w:hAnsiTheme="minorBidi"/>
        </w:rPr>
        <w:t xml:space="preserve">(for example </w:t>
      </w:r>
      <w:r>
        <w:rPr>
          <w:rFonts w:asciiTheme="minorBidi" w:hAnsiTheme="minorBidi"/>
        </w:rPr>
        <w:t>in the subject area ‘</w:t>
      </w:r>
      <w:r w:rsidR="00935618">
        <w:rPr>
          <w:rFonts w:asciiTheme="minorBidi" w:hAnsiTheme="minorBidi"/>
        </w:rPr>
        <w:t>funds expenditure)</w:t>
      </w:r>
      <w:r>
        <w:rPr>
          <w:rFonts w:asciiTheme="minorBidi" w:hAnsiTheme="minorBidi"/>
        </w:rPr>
        <w:t xml:space="preserve"> </w:t>
      </w:r>
      <w:r w:rsidR="00935618">
        <w:rPr>
          <w:rFonts w:asciiTheme="minorBidi" w:hAnsiTheme="minorBidi"/>
        </w:rPr>
        <w:t>stating (for example) that the acquisition method does not equal ‘purchase’ or ‘purchase at vendor system’ or ‘approval plan’.</w:t>
      </w:r>
      <w:r w:rsidR="00A323FF">
        <w:rPr>
          <w:rFonts w:asciiTheme="minorBidi" w:hAnsiTheme="minorBidi"/>
        </w:rPr>
        <w:t xml:space="preserve">  If a reporting code was used then that too can be included in the report.</w:t>
      </w:r>
    </w:p>
    <w:p w14:paraId="43AD16B8" w14:textId="77777777" w:rsidR="00935618" w:rsidRDefault="00935618" w:rsidP="00935618">
      <w:pPr>
        <w:pStyle w:val="NoSpacing"/>
        <w:rPr>
          <w:rFonts w:asciiTheme="minorBidi" w:hAnsiTheme="minorBidi"/>
        </w:rPr>
      </w:pPr>
    </w:p>
    <w:p w14:paraId="624D7B64" w14:textId="77777777" w:rsidR="00935618" w:rsidRDefault="00935618" w:rsidP="00FD6291">
      <w:pPr>
        <w:pStyle w:val="NoSpacing"/>
        <w:rPr>
          <w:rFonts w:asciiTheme="minorBidi" w:hAnsiTheme="minorBidi"/>
        </w:rPr>
      </w:pPr>
    </w:p>
    <w:p w14:paraId="51839068" w14:textId="77777777" w:rsidR="00935618" w:rsidRDefault="00935618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drawing>
          <wp:inline distT="0" distB="0" distL="0" distR="0" wp14:anchorId="5B97509F" wp14:editId="56FCC039">
            <wp:extent cx="5200650" cy="255270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F47C0E5" w14:textId="77777777" w:rsidR="00A323FF" w:rsidRDefault="00A323FF" w:rsidP="00FD6291">
      <w:pPr>
        <w:pStyle w:val="NoSpacing"/>
        <w:rPr>
          <w:rFonts w:asciiTheme="minorBidi" w:hAnsiTheme="minorBidi"/>
        </w:rPr>
      </w:pPr>
    </w:p>
    <w:p w14:paraId="3EBFE63C" w14:textId="77777777" w:rsidR="00A03E1A" w:rsidRDefault="00A03E1A" w:rsidP="00FD6291">
      <w:pPr>
        <w:pStyle w:val="NoSpacing"/>
        <w:rPr>
          <w:rFonts w:asciiTheme="minorBidi" w:hAnsiTheme="minorBidi"/>
        </w:rPr>
      </w:pPr>
    </w:p>
    <w:p w14:paraId="62F06BDA" w14:textId="77777777" w:rsidR="00A03E1A" w:rsidRPr="00A03E1A" w:rsidRDefault="00A03E1A" w:rsidP="00FD6291">
      <w:pPr>
        <w:pStyle w:val="NoSpacing"/>
        <w:rPr>
          <w:rFonts w:asciiTheme="minorBidi" w:hAnsiTheme="minorBidi"/>
          <w:b/>
          <w:bCs/>
          <w:u w:val="single"/>
        </w:rPr>
      </w:pPr>
      <w:r w:rsidRPr="00A03E1A">
        <w:rPr>
          <w:rFonts w:asciiTheme="minorBidi" w:hAnsiTheme="minorBidi"/>
          <w:b/>
          <w:bCs/>
          <w:u w:val="single"/>
        </w:rPr>
        <w:t>SIX</w:t>
      </w:r>
    </w:p>
    <w:p w14:paraId="3C668527" w14:textId="77777777" w:rsidR="00A03E1A" w:rsidRDefault="00A03E1A" w:rsidP="00FD6291">
      <w:pPr>
        <w:pStyle w:val="NoSpacing"/>
        <w:rPr>
          <w:rFonts w:asciiTheme="minorBidi" w:hAnsiTheme="minorBidi"/>
        </w:rPr>
      </w:pPr>
    </w:p>
    <w:p w14:paraId="440F05C8" w14:textId="77777777" w:rsidR="00A03E1A" w:rsidRDefault="00942673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Here</w:t>
      </w:r>
      <w:r w:rsidR="00A03E1A">
        <w:rPr>
          <w:rFonts w:asciiTheme="minorBidi" w:hAnsiTheme="minorBidi"/>
        </w:rPr>
        <w:t xml:space="preserve"> is a retrieval specially by acquisition </w:t>
      </w:r>
      <w:r>
        <w:rPr>
          <w:rFonts w:asciiTheme="minorBidi" w:hAnsiTheme="minorBidi"/>
        </w:rPr>
        <w:t>method</w:t>
      </w:r>
      <w:r w:rsidR="00A03E1A">
        <w:rPr>
          <w:rFonts w:asciiTheme="minorBidi" w:hAnsiTheme="minorBidi"/>
        </w:rPr>
        <w:t xml:space="preserve"> ‘Exchange’</w:t>
      </w:r>
    </w:p>
    <w:p w14:paraId="0F5D909E" w14:textId="77777777" w:rsidR="00A03E1A" w:rsidRDefault="00A03E1A" w:rsidP="00FD6291">
      <w:pPr>
        <w:pStyle w:val="NoSpacing"/>
        <w:rPr>
          <w:rFonts w:asciiTheme="minorBidi" w:hAnsiTheme="minorBidi"/>
        </w:rPr>
      </w:pPr>
    </w:p>
    <w:p w14:paraId="1381B167" w14:textId="77777777" w:rsidR="00A03E1A" w:rsidRDefault="00A03E1A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lastRenderedPageBreak/>
        <w:drawing>
          <wp:inline distT="0" distB="0" distL="0" distR="0" wp14:anchorId="39672A17" wp14:editId="45C696F6">
            <wp:extent cx="3971925" cy="2962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F7224" w14:textId="77777777" w:rsidR="00A03E1A" w:rsidRDefault="00A03E1A" w:rsidP="00FD6291">
      <w:pPr>
        <w:pStyle w:val="NoSpacing"/>
        <w:rPr>
          <w:rFonts w:asciiTheme="minorBidi" w:hAnsiTheme="minorBidi"/>
        </w:rPr>
      </w:pPr>
    </w:p>
    <w:p w14:paraId="414AB1FC" w14:textId="77777777" w:rsidR="00A03E1A" w:rsidRDefault="00A03E1A" w:rsidP="00FD629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drawing>
          <wp:inline distT="0" distB="0" distL="0" distR="0" wp14:anchorId="6E9A36B4" wp14:editId="2D318157">
            <wp:extent cx="2381250" cy="126682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9AE164" w14:textId="77777777" w:rsidR="00A03E1A" w:rsidRDefault="00A03E1A" w:rsidP="00FD6291">
      <w:pPr>
        <w:pStyle w:val="NoSpacing"/>
        <w:rPr>
          <w:rFonts w:asciiTheme="minorBidi" w:hAnsiTheme="minorBidi"/>
        </w:rPr>
      </w:pPr>
    </w:p>
    <w:p w14:paraId="75C5B927" w14:textId="77777777" w:rsidR="00A03E1A" w:rsidRDefault="00A03E1A" w:rsidP="00FD6291">
      <w:pPr>
        <w:pStyle w:val="NoSpacing"/>
        <w:rPr>
          <w:rFonts w:asciiTheme="minorBidi" w:hAnsiTheme="minorBidi"/>
        </w:rPr>
      </w:pPr>
    </w:p>
    <w:p w14:paraId="3D5D08BA" w14:textId="77777777" w:rsidR="00A323FF" w:rsidRDefault="00A323FF" w:rsidP="00FD6291">
      <w:pPr>
        <w:pStyle w:val="NoSpacing"/>
        <w:rPr>
          <w:rFonts w:asciiTheme="minorBidi" w:hAnsiTheme="minorBidi"/>
          <w:b/>
          <w:bCs/>
        </w:rPr>
      </w:pPr>
      <w:r w:rsidRPr="00A323FF">
        <w:rPr>
          <w:rFonts w:asciiTheme="minorBidi" w:hAnsiTheme="minorBidi"/>
          <w:b/>
          <w:bCs/>
        </w:rPr>
        <w:t>Case two:  ‘Institution A’ sends a museum catalogue to ‘Institution B’</w:t>
      </w:r>
    </w:p>
    <w:p w14:paraId="35248F47" w14:textId="77777777" w:rsidR="00A323FF" w:rsidRDefault="00A323FF" w:rsidP="00FD6291">
      <w:pPr>
        <w:pStyle w:val="NoSpacing"/>
        <w:rPr>
          <w:rFonts w:asciiTheme="minorBidi" w:hAnsiTheme="minorBidi"/>
          <w:b/>
          <w:bCs/>
        </w:rPr>
      </w:pPr>
    </w:p>
    <w:p w14:paraId="56996A1D" w14:textId="77777777" w:rsidR="00A323FF" w:rsidRDefault="00A323FF" w:rsidP="00A323F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Now the </w:t>
      </w:r>
      <w:proofErr w:type="spellStart"/>
      <w:r>
        <w:rPr>
          <w:rFonts w:asciiTheme="minorBidi" w:hAnsiTheme="minorBidi"/>
        </w:rPr>
        <w:t>catalog</w:t>
      </w:r>
      <w:proofErr w:type="spellEnd"/>
      <w:r>
        <w:rPr>
          <w:rFonts w:asciiTheme="minorBidi" w:hAnsiTheme="minorBidi"/>
        </w:rPr>
        <w:t xml:space="preserve"> is not ‘received’ by the library.  Rather, it is ‘sent’ by the library.  The library is, in a sense, acting here as the vendor.  The library will want to be able to report on all items sent out as part of the exchange.</w:t>
      </w:r>
    </w:p>
    <w:p w14:paraId="5688B3C6" w14:textId="77777777" w:rsidR="00A323FF" w:rsidRDefault="00A323FF" w:rsidP="00A323FF">
      <w:pPr>
        <w:pStyle w:val="NoSpacing"/>
        <w:rPr>
          <w:rFonts w:asciiTheme="minorBidi" w:hAnsiTheme="minorBidi"/>
        </w:rPr>
      </w:pPr>
    </w:p>
    <w:p w14:paraId="55659995" w14:textId="77777777" w:rsidR="00A323FF" w:rsidRDefault="00A323FF" w:rsidP="00A323FF">
      <w:pPr>
        <w:pStyle w:val="NoSpacing"/>
        <w:rPr>
          <w:rFonts w:asciiTheme="minorBidi" w:hAnsiTheme="minorBidi"/>
        </w:rPr>
      </w:pPr>
    </w:p>
    <w:p w14:paraId="35C1BD20" w14:textId="77777777" w:rsidR="00A323FF" w:rsidRDefault="00A323FF" w:rsidP="00A323FF">
      <w:pPr>
        <w:pStyle w:val="NoSpacing"/>
        <w:rPr>
          <w:rFonts w:asciiTheme="minorBidi" w:hAnsiTheme="minorBidi"/>
        </w:rPr>
      </w:pPr>
    </w:p>
    <w:p w14:paraId="64813FDA" w14:textId="77777777" w:rsidR="00A323FF" w:rsidRPr="00A323FF" w:rsidRDefault="00A323FF" w:rsidP="00A323FF">
      <w:pPr>
        <w:pStyle w:val="NoSpacing"/>
        <w:rPr>
          <w:rFonts w:asciiTheme="minorBidi" w:hAnsiTheme="minorBidi"/>
          <w:b/>
          <w:bCs/>
          <w:u w:val="single"/>
        </w:rPr>
      </w:pPr>
      <w:r w:rsidRPr="00A323FF">
        <w:rPr>
          <w:rFonts w:asciiTheme="minorBidi" w:hAnsiTheme="minorBidi"/>
          <w:b/>
          <w:bCs/>
          <w:u w:val="single"/>
        </w:rPr>
        <w:t>ONE</w:t>
      </w:r>
    </w:p>
    <w:p w14:paraId="4D7B761F" w14:textId="77777777" w:rsidR="00A323FF" w:rsidRDefault="00A323FF" w:rsidP="00A323F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‘Institution A’ will create a bibliographic record and an item for the item they want to send to ‘Institution B’.</w:t>
      </w:r>
    </w:p>
    <w:p w14:paraId="146F5AA2" w14:textId="77777777" w:rsidR="00A323FF" w:rsidRDefault="00A323FF" w:rsidP="00A323F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In the item ‘Institution A’ </w:t>
      </w:r>
      <w:r w:rsidRPr="00A323FF">
        <w:rPr>
          <w:rFonts w:asciiTheme="minorBidi" w:hAnsiTheme="minorBidi"/>
        </w:rPr>
        <w:t xml:space="preserve">adds a predefined Provenance code from pull down box (library can </w:t>
      </w:r>
      <w:r w:rsidR="00B655C5">
        <w:rPr>
          <w:rFonts w:asciiTheme="minorBidi" w:hAnsiTheme="minorBidi"/>
        </w:rPr>
        <w:t xml:space="preserve">make their own predefined list).  Here for example we have </w:t>
      </w:r>
      <w:r w:rsidR="00B655C5" w:rsidRPr="00A323FF">
        <w:rPr>
          <w:rFonts w:asciiTheme="minorBidi" w:hAnsiTheme="minorBidi"/>
        </w:rPr>
        <w:t>Provenance code</w:t>
      </w:r>
      <w:r w:rsidR="00B655C5">
        <w:rPr>
          <w:rFonts w:asciiTheme="minorBidi" w:hAnsiTheme="minorBidi"/>
        </w:rPr>
        <w:t>s:</w:t>
      </w:r>
    </w:p>
    <w:p w14:paraId="0EF4A463" w14:textId="77777777" w:rsidR="00B655C5" w:rsidRDefault="00B655C5" w:rsidP="00A323FF">
      <w:pPr>
        <w:pStyle w:val="NoSpacing"/>
        <w:rPr>
          <w:rFonts w:asciiTheme="minorBidi" w:hAnsiTheme="minorBidi"/>
        </w:rPr>
      </w:pPr>
    </w:p>
    <w:p w14:paraId="5A5331E5" w14:textId="77777777" w:rsidR="00B655C5" w:rsidRDefault="00B655C5" w:rsidP="00A323F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Supplied to the Museum of Library Science</w:t>
      </w:r>
    </w:p>
    <w:p w14:paraId="44AE066B" w14:textId="77777777" w:rsidR="00B655C5" w:rsidRDefault="00B655C5" w:rsidP="00B655C5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Supplied to the Museum of Natural History</w:t>
      </w:r>
    </w:p>
    <w:p w14:paraId="633903BF" w14:textId="77777777" w:rsidR="00B655C5" w:rsidRDefault="00B655C5" w:rsidP="00B655C5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Supplied to the Museum of Information Science</w:t>
      </w:r>
    </w:p>
    <w:p w14:paraId="1D519E2A" w14:textId="77777777" w:rsidR="00B655C5" w:rsidRDefault="00B655C5" w:rsidP="00A323FF">
      <w:pPr>
        <w:pStyle w:val="NoSpacing"/>
        <w:rPr>
          <w:rFonts w:asciiTheme="minorBidi" w:hAnsiTheme="minorBidi"/>
        </w:rPr>
      </w:pPr>
    </w:p>
    <w:p w14:paraId="5F2D7AB0" w14:textId="77777777" w:rsidR="00A323FF" w:rsidRDefault="00A323FF" w:rsidP="00A323FF">
      <w:pPr>
        <w:pStyle w:val="NoSpacing"/>
        <w:rPr>
          <w:rFonts w:asciiTheme="minorBidi" w:hAnsiTheme="minorBidi"/>
        </w:rPr>
      </w:pPr>
    </w:p>
    <w:p w14:paraId="6EC88C13" w14:textId="77777777" w:rsidR="00A323FF" w:rsidRDefault="00A323FF" w:rsidP="00A323F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lastRenderedPageBreak/>
        <w:drawing>
          <wp:inline distT="0" distB="0" distL="0" distR="0" wp14:anchorId="5F3BBA73" wp14:editId="116CB16F">
            <wp:extent cx="6648450" cy="208597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B2A273" w14:textId="77777777" w:rsidR="00A323FF" w:rsidRDefault="00A323FF" w:rsidP="00A323FF">
      <w:pPr>
        <w:pStyle w:val="NoSpacing"/>
        <w:rPr>
          <w:rFonts w:asciiTheme="minorBidi" w:hAnsiTheme="minorBidi"/>
        </w:rPr>
      </w:pPr>
    </w:p>
    <w:p w14:paraId="460EDED5" w14:textId="77777777" w:rsidR="00A323FF" w:rsidRPr="00A323FF" w:rsidRDefault="00A323FF" w:rsidP="00A323FF">
      <w:pPr>
        <w:pStyle w:val="NoSpacing"/>
        <w:rPr>
          <w:rFonts w:asciiTheme="minorBidi" w:hAnsiTheme="minorBidi"/>
          <w:b/>
          <w:bCs/>
          <w:u w:val="single"/>
        </w:rPr>
      </w:pPr>
      <w:r w:rsidRPr="00A323FF">
        <w:rPr>
          <w:rFonts w:asciiTheme="minorBidi" w:hAnsiTheme="minorBidi"/>
          <w:b/>
          <w:bCs/>
          <w:u w:val="single"/>
        </w:rPr>
        <w:t>TWO</w:t>
      </w:r>
    </w:p>
    <w:p w14:paraId="43876F0A" w14:textId="77777777" w:rsidR="00A323FF" w:rsidRDefault="00A323FF" w:rsidP="00A323FF">
      <w:pPr>
        <w:pStyle w:val="NoSpacing"/>
        <w:rPr>
          <w:rFonts w:asciiTheme="minorBidi" w:hAnsiTheme="minorBidi"/>
        </w:rPr>
      </w:pPr>
    </w:p>
    <w:p w14:paraId="3DBBAE6C" w14:textId="77777777" w:rsidR="00A323FF" w:rsidRDefault="00A323FF" w:rsidP="00A323F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‘Institution A’ then withdraws (deletes) the item and send</w:t>
      </w:r>
      <w:r w:rsidR="00B655C5">
        <w:rPr>
          <w:rFonts w:asciiTheme="minorBidi" w:hAnsiTheme="minorBidi"/>
        </w:rPr>
        <w:t>s it</w:t>
      </w:r>
      <w:r>
        <w:rPr>
          <w:rFonts w:asciiTheme="minorBidi" w:hAnsiTheme="minorBidi"/>
        </w:rPr>
        <w:t xml:space="preserve"> to ‘Institution B’.</w:t>
      </w:r>
    </w:p>
    <w:p w14:paraId="641F2C44" w14:textId="77777777" w:rsidR="00A323FF" w:rsidRDefault="00A323FF" w:rsidP="00A323FF">
      <w:pPr>
        <w:pStyle w:val="NoSpacing"/>
        <w:rPr>
          <w:rFonts w:asciiTheme="minorBidi" w:hAnsiTheme="minorBidi"/>
        </w:rPr>
      </w:pPr>
    </w:p>
    <w:p w14:paraId="1AF20E0A" w14:textId="77777777" w:rsidR="00A323FF" w:rsidRDefault="00386D25" w:rsidP="00A323F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drawing>
          <wp:inline distT="0" distB="0" distL="0" distR="0" wp14:anchorId="11DFB922" wp14:editId="4ECDFD9B">
            <wp:extent cx="6638925" cy="231457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11473C" w14:textId="77777777" w:rsidR="00386D25" w:rsidRDefault="00386D25" w:rsidP="00A323FF">
      <w:pPr>
        <w:pStyle w:val="NoSpacing"/>
        <w:rPr>
          <w:rFonts w:asciiTheme="minorBidi" w:hAnsiTheme="minorBidi"/>
        </w:rPr>
      </w:pPr>
    </w:p>
    <w:p w14:paraId="58E6AC13" w14:textId="77777777" w:rsidR="00386D25" w:rsidRDefault="00386D25" w:rsidP="00A323FF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drawing>
          <wp:inline distT="0" distB="0" distL="0" distR="0" wp14:anchorId="4F86FC3F" wp14:editId="0887EE08">
            <wp:extent cx="2266950" cy="2009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ag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</w:rPr>
        <w:t xml:space="preserve"> </w:t>
      </w:r>
    </w:p>
    <w:p w14:paraId="24644898" w14:textId="77777777" w:rsidR="00386D25" w:rsidRPr="00386D25" w:rsidRDefault="00386D25" w:rsidP="00A323FF">
      <w:pPr>
        <w:pStyle w:val="NoSpacing"/>
        <w:rPr>
          <w:rFonts w:asciiTheme="minorBidi" w:hAnsiTheme="minorBidi"/>
          <w:sz w:val="12"/>
          <w:szCs w:val="12"/>
        </w:rPr>
      </w:pPr>
      <w:r w:rsidRPr="00386D25">
        <w:rPr>
          <w:rFonts w:asciiTheme="minorBidi" w:hAnsiTheme="minorBidi"/>
          <w:sz w:val="12"/>
          <w:szCs w:val="12"/>
        </w:rPr>
        <w:t>http://www.photologic.ca/tashipping.htm</w:t>
      </w:r>
    </w:p>
    <w:p w14:paraId="3641B414" w14:textId="77777777" w:rsidR="00386D25" w:rsidRDefault="00386D25" w:rsidP="00A323FF">
      <w:pPr>
        <w:pStyle w:val="NoSpacing"/>
        <w:rPr>
          <w:rFonts w:asciiTheme="minorBidi" w:hAnsiTheme="minorBidi"/>
          <w:b/>
          <w:bCs/>
        </w:rPr>
      </w:pPr>
    </w:p>
    <w:p w14:paraId="11A63A56" w14:textId="77777777" w:rsidR="00386D25" w:rsidRPr="00386D25" w:rsidRDefault="00386D25" w:rsidP="00A323FF">
      <w:pPr>
        <w:pStyle w:val="NoSpacing"/>
        <w:rPr>
          <w:rFonts w:asciiTheme="minorBidi" w:hAnsiTheme="minorBidi"/>
          <w:b/>
          <w:bCs/>
        </w:rPr>
      </w:pPr>
      <w:r w:rsidRPr="00386D25">
        <w:rPr>
          <w:rFonts w:asciiTheme="minorBidi" w:hAnsiTheme="minorBidi"/>
          <w:b/>
          <w:bCs/>
        </w:rPr>
        <w:t>THREE</w:t>
      </w:r>
    </w:p>
    <w:p w14:paraId="3118AB44" w14:textId="77777777" w:rsidR="00386D25" w:rsidRDefault="00386D25" w:rsidP="00A323FF">
      <w:pPr>
        <w:pStyle w:val="NoSpacing"/>
        <w:rPr>
          <w:rFonts w:asciiTheme="minorBidi" w:hAnsiTheme="minorBidi"/>
        </w:rPr>
      </w:pPr>
    </w:p>
    <w:p w14:paraId="1A6F281F" w14:textId="77777777" w:rsidR="00386D25" w:rsidRDefault="00386D25" w:rsidP="00B655C5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Now the ‘Institution A’ can easily make a</w:t>
      </w:r>
      <w:r w:rsidRPr="00386D25">
        <w:rPr>
          <w:rFonts w:asciiTheme="minorBidi" w:hAnsiTheme="minorBidi"/>
        </w:rPr>
        <w:t xml:space="preserve"> report in analytics ‘Physical items’ subject areas by retrieving according to ‘Life Cycle’ =  ‘Deleted’ and ‘P</w:t>
      </w:r>
      <w:r w:rsidR="00B655C5">
        <w:rPr>
          <w:rFonts w:asciiTheme="minorBidi" w:hAnsiTheme="minorBidi"/>
        </w:rPr>
        <w:t>r</w:t>
      </w:r>
      <w:r w:rsidRPr="00386D25">
        <w:rPr>
          <w:rFonts w:asciiTheme="minorBidi" w:hAnsiTheme="minorBidi"/>
        </w:rPr>
        <w:t>ovenance Code’</w:t>
      </w:r>
      <w:r>
        <w:rPr>
          <w:rFonts w:asciiTheme="minorBidi" w:hAnsiTheme="minorBidi"/>
        </w:rPr>
        <w:t>.</w:t>
      </w:r>
    </w:p>
    <w:p w14:paraId="3562EDA0" w14:textId="77777777" w:rsidR="00386D25" w:rsidRDefault="00386D25" w:rsidP="00386D25">
      <w:pPr>
        <w:pStyle w:val="NoSpacing"/>
        <w:rPr>
          <w:rFonts w:asciiTheme="minorBidi" w:hAnsiTheme="minorBidi"/>
        </w:rPr>
      </w:pPr>
    </w:p>
    <w:p w14:paraId="2F42EE17" w14:textId="77777777" w:rsidR="00386D25" w:rsidRDefault="00386D25" w:rsidP="00386D25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  <w:noProof/>
          <w:lang w:val="en-US" w:eastAsia="en-US" w:bidi="he-IL"/>
        </w:rPr>
        <w:lastRenderedPageBreak/>
        <w:drawing>
          <wp:inline distT="0" distB="0" distL="0" distR="0" wp14:anchorId="61C36705" wp14:editId="20541AE9">
            <wp:extent cx="3971925" cy="2095500"/>
            <wp:effectExtent l="19050" t="19050" r="2857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9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B4AF77" w14:textId="77777777" w:rsidR="00386D25" w:rsidRDefault="00386D25" w:rsidP="00386D25">
      <w:pPr>
        <w:pStyle w:val="NoSpacing"/>
        <w:rPr>
          <w:rFonts w:asciiTheme="minorBidi" w:hAnsiTheme="minorBidi"/>
        </w:rPr>
      </w:pPr>
    </w:p>
    <w:p w14:paraId="6FBC2A2A" w14:textId="77777777" w:rsidR="00386D25" w:rsidRDefault="00386D25" w:rsidP="00386D25">
      <w:pPr>
        <w:pStyle w:val="NoSpacing"/>
        <w:rPr>
          <w:rFonts w:asciiTheme="minorBidi" w:hAnsiTheme="minorBidi"/>
        </w:rPr>
      </w:pPr>
    </w:p>
    <w:p w14:paraId="20AA8778" w14:textId="77777777" w:rsidR="00386D25" w:rsidRPr="00A323FF" w:rsidRDefault="00386D25" w:rsidP="00386D25">
      <w:pPr>
        <w:pStyle w:val="NoSpacing"/>
        <w:rPr>
          <w:rFonts w:asciiTheme="minorBidi" w:hAnsiTheme="minorBidi"/>
        </w:rPr>
      </w:pPr>
    </w:p>
    <w:sectPr w:rsidR="00386D25" w:rsidRPr="00A323FF" w:rsidSect="00B56455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64151" w14:textId="77777777" w:rsidR="00390276" w:rsidRDefault="00390276" w:rsidP="00711005">
      <w:pPr>
        <w:spacing w:after="0" w:line="240" w:lineRule="auto"/>
      </w:pPr>
      <w:r>
        <w:separator/>
      </w:r>
    </w:p>
  </w:endnote>
  <w:endnote w:type="continuationSeparator" w:id="0">
    <w:p w14:paraId="0C797B1A" w14:textId="77777777" w:rsidR="00390276" w:rsidRDefault="00390276" w:rsidP="0071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D6CF" w14:textId="77777777" w:rsidR="00386D25" w:rsidRPr="00247F1B" w:rsidRDefault="00386D25" w:rsidP="00711005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30EBAEB9" w14:textId="77777777" w:rsidR="00386D25" w:rsidRPr="00247F1B" w:rsidRDefault="00386D25" w:rsidP="00711005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14:paraId="5C9ABBC8" w14:textId="77777777" w:rsidR="00386D25" w:rsidRDefault="00386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BE01" w14:textId="77777777" w:rsidR="00390276" w:rsidRDefault="00390276" w:rsidP="00711005">
      <w:pPr>
        <w:spacing w:after="0" w:line="240" w:lineRule="auto"/>
      </w:pPr>
      <w:r>
        <w:separator/>
      </w:r>
    </w:p>
  </w:footnote>
  <w:footnote w:type="continuationSeparator" w:id="0">
    <w:p w14:paraId="3507450F" w14:textId="77777777" w:rsidR="00390276" w:rsidRDefault="00390276" w:rsidP="0071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8D1"/>
    <w:multiLevelType w:val="hybridMultilevel"/>
    <w:tmpl w:val="A104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4D82"/>
    <w:multiLevelType w:val="hybridMultilevel"/>
    <w:tmpl w:val="99AC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5AF"/>
    <w:rsid w:val="00146B7E"/>
    <w:rsid w:val="0015767F"/>
    <w:rsid w:val="001865A4"/>
    <w:rsid w:val="002B38A8"/>
    <w:rsid w:val="00386D25"/>
    <w:rsid w:val="00390276"/>
    <w:rsid w:val="00391632"/>
    <w:rsid w:val="003C0572"/>
    <w:rsid w:val="0049169D"/>
    <w:rsid w:val="005D0B58"/>
    <w:rsid w:val="005F421B"/>
    <w:rsid w:val="006B4C31"/>
    <w:rsid w:val="00711005"/>
    <w:rsid w:val="00824CCA"/>
    <w:rsid w:val="00935618"/>
    <w:rsid w:val="00942673"/>
    <w:rsid w:val="009D6E89"/>
    <w:rsid w:val="00A03E1A"/>
    <w:rsid w:val="00A323FF"/>
    <w:rsid w:val="00B5598F"/>
    <w:rsid w:val="00B56455"/>
    <w:rsid w:val="00B655C5"/>
    <w:rsid w:val="00CB5AF2"/>
    <w:rsid w:val="00D93ED7"/>
    <w:rsid w:val="00D975AF"/>
    <w:rsid w:val="00F6494D"/>
    <w:rsid w:val="00F8112A"/>
    <w:rsid w:val="00FD6291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5D2F"/>
  <w15:docId w15:val="{34BF8628-4882-4971-A837-4D06955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42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1005"/>
    <w:pPr>
      <w:tabs>
        <w:tab w:val="center" w:pos="4680"/>
        <w:tab w:val="right" w:pos="9360"/>
      </w:tabs>
      <w:spacing w:after="220" w:line="240" w:lineRule="auto"/>
    </w:pPr>
    <w:rPr>
      <w:rFonts w:ascii="Verdana" w:eastAsiaTheme="minorHAnsi" w:hAnsi="Verdana"/>
      <w:color w:val="000000" w:themeColor="text1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005"/>
    <w:rPr>
      <w:rFonts w:ascii="Verdana" w:eastAsiaTheme="minorHAnsi" w:hAnsi="Verdana"/>
      <w:color w:val="000000" w:themeColor="text1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11005"/>
    <w:pPr>
      <w:spacing w:after="0" w:line="240" w:lineRule="auto"/>
    </w:pPr>
    <w:rPr>
      <w:rFonts w:ascii="Verdana" w:hAnsi="Verdana"/>
      <w:bCs/>
      <w:color w:val="000000" w:themeColor="text1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10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05"/>
  </w:style>
  <w:style w:type="paragraph" w:styleId="ListParagraph">
    <w:name w:val="List Paragraph"/>
    <w:basedOn w:val="Normal"/>
    <w:uiPriority w:val="34"/>
    <w:qFormat/>
    <w:rsid w:val="003C0572"/>
    <w:pPr>
      <w:spacing w:after="0" w:line="240" w:lineRule="auto"/>
      <w:ind w:left="720"/>
    </w:pPr>
    <w:rPr>
      <w:rFonts w:ascii="Calibri" w:eastAsiaTheme="minorHAnsi" w:hAnsi="Calibri" w:cs="Calibri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Horn</dc:creator>
  <cp:lastModifiedBy>Yoel Kortick</cp:lastModifiedBy>
  <cp:revision>2</cp:revision>
  <dcterms:created xsi:type="dcterms:W3CDTF">2021-10-21T12:15:00Z</dcterms:created>
  <dcterms:modified xsi:type="dcterms:W3CDTF">2021-10-21T12:15:00Z</dcterms:modified>
</cp:coreProperties>
</file>