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C97" w14:textId="72A73405" w:rsidR="00F72C7D" w:rsidRPr="002878C8" w:rsidRDefault="00D933CA" w:rsidP="00CC2C15">
      <w:pPr>
        <w:jc w:val="center"/>
        <w:rPr>
          <w:rFonts w:ascii="Calibri" w:hAnsi="Calibri" w:cs="Calibri"/>
          <w:b/>
          <w:bCs/>
          <w:color w:val="002060"/>
          <w:sz w:val="32"/>
          <w:szCs w:val="32"/>
        </w:rPr>
      </w:pPr>
      <w:r>
        <w:rPr>
          <w:rFonts w:ascii="Calibri" w:hAnsi="Calibri" w:cs="Calibri"/>
          <w:b/>
          <w:bCs/>
          <w:color w:val="002060"/>
          <w:sz w:val="32"/>
          <w:szCs w:val="32"/>
        </w:rPr>
        <w:t xml:space="preserve">Archive courses </w:t>
      </w:r>
      <w:r w:rsidR="00EF4455">
        <w:rPr>
          <w:rFonts w:ascii="Calibri" w:hAnsi="Calibri" w:cs="Calibri"/>
          <w:b/>
          <w:bCs/>
          <w:color w:val="002060"/>
          <w:sz w:val="32"/>
          <w:szCs w:val="32"/>
        </w:rPr>
        <w:t>that don’t have</w:t>
      </w:r>
      <w:r>
        <w:rPr>
          <w:rFonts w:ascii="Calibri" w:hAnsi="Calibri" w:cs="Calibri"/>
          <w:b/>
          <w:bCs/>
          <w:color w:val="002060"/>
          <w:sz w:val="32"/>
          <w:szCs w:val="32"/>
        </w:rPr>
        <w:t xml:space="preserve"> reading list</w:t>
      </w:r>
      <w:r w:rsidR="00EF4455">
        <w:rPr>
          <w:rFonts w:ascii="Calibri" w:hAnsi="Calibri" w:cs="Calibri"/>
          <w:b/>
          <w:bCs/>
          <w:color w:val="002060"/>
          <w:sz w:val="32"/>
          <w:szCs w:val="32"/>
        </w:rPr>
        <w:t>s</w:t>
      </w:r>
      <w:r>
        <w:rPr>
          <w:rFonts w:ascii="Calibri" w:hAnsi="Calibri" w:cs="Calibri"/>
          <w:b/>
          <w:bCs/>
          <w:color w:val="002060"/>
          <w:sz w:val="32"/>
          <w:szCs w:val="32"/>
        </w:rPr>
        <w:t xml:space="preserve"> </w:t>
      </w:r>
    </w:p>
    <w:p w14:paraId="1DB7B53F" w14:textId="24BE59AF" w:rsidR="007664A2" w:rsidRDefault="00EF4455" w:rsidP="00E571F2">
      <w:pPr>
        <w:rPr>
          <w:b/>
          <w:bCs/>
          <w:color w:val="1F4E79"/>
        </w:rPr>
      </w:pPr>
      <w:r>
        <w:rPr>
          <w:b/>
          <w:bCs/>
          <w:color w:val="1F4E79"/>
        </w:rPr>
        <w:t>Build a set of courses without reading lists</w:t>
      </w:r>
      <w:r w:rsidR="007664A2">
        <w:rPr>
          <w:b/>
          <w:bCs/>
          <w:color w:val="1F4E79"/>
        </w:rPr>
        <w:t xml:space="preserve">: </w:t>
      </w:r>
    </w:p>
    <w:p w14:paraId="2621F00E" w14:textId="5551E566" w:rsidR="00872D90" w:rsidRDefault="00872D90" w:rsidP="00872D90">
      <w:pPr>
        <w:rPr>
          <w:sz w:val="20"/>
          <w:szCs w:val="20"/>
        </w:rPr>
      </w:pPr>
      <w:r w:rsidRPr="003639F4">
        <w:rPr>
          <w:sz w:val="20"/>
          <w:szCs w:val="20"/>
        </w:rPr>
        <w:t xml:space="preserve">Go to </w:t>
      </w:r>
      <w:r w:rsidRPr="001B0A22">
        <w:rPr>
          <w:b/>
          <w:bCs/>
          <w:sz w:val="20"/>
          <w:szCs w:val="20"/>
        </w:rPr>
        <w:t xml:space="preserve">Admin &gt; Manage </w:t>
      </w:r>
      <w:r w:rsidRPr="001B0A22">
        <w:rPr>
          <w:b/>
          <w:bCs/>
          <w:sz w:val="20"/>
          <w:szCs w:val="20"/>
        </w:rPr>
        <w:t>S</w:t>
      </w:r>
      <w:r w:rsidRPr="001B0A22">
        <w:rPr>
          <w:b/>
          <w:bCs/>
          <w:sz w:val="20"/>
          <w:szCs w:val="20"/>
        </w:rPr>
        <w:t>ets</w:t>
      </w:r>
    </w:p>
    <w:p w14:paraId="7F031A01" w14:textId="71FEF0C5" w:rsidR="00872D90" w:rsidRDefault="00872D90" w:rsidP="00872D90">
      <w:pPr>
        <w:rPr>
          <w:sz w:val="20"/>
          <w:szCs w:val="20"/>
        </w:rPr>
      </w:pPr>
      <w:r>
        <w:rPr>
          <w:sz w:val="20"/>
          <w:szCs w:val="20"/>
        </w:rPr>
        <w:t xml:space="preserve">Select </w:t>
      </w:r>
      <w:r w:rsidRPr="001B0A22">
        <w:rPr>
          <w:b/>
          <w:bCs/>
          <w:sz w:val="20"/>
          <w:szCs w:val="20"/>
        </w:rPr>
        <w:t>Add Set</w:t>
      </w:r>
      <w:r>
        <w:rPr>
          <w:sz w:val="20"/>
          <w:szCs w:val="20"/>
        </w:rPr>
        <w:t xml:space="preserve"> and choose either logical or itemized</w:t>
      </w:r>
    </w:p>
    <w:p w14:paraId="35099F29" w14:textId="78EF4B22" w:rsidR="00872D90" w:rsidRDefault="00872D90" w:rsidP="00872D90">
      <w:pPr>
        <w:rPr>
          <w:sz w:val="20"/>
          <w:szCs w:val="20"/>
        </w:rPr>
      </w:pPr>
      <w:r>
        <w:rPr>
          <w:sz w:val="20"/>
          <w:szCs w:val="20"/>
        </w:rPr>
        <w:t xml:space="preserve">Choose </w:t>
      </w:r>
      <w:r w:rsidRPr="001B0A22">
        <w:rPr>
          <w:b/>
          <w:bCs/>
          <w:sz w:val="20"/>
          <w:szCs w:val="20"/>
        </w:rPr>
        <w:t xml:space="preserve">Set content type: </w:t>
      </w:r>
      <w:r w:rsidR="001B0A22">
        <w:rPr>
          <w:b/>
          <w:bCs/>
          <w:sz w:val="20"/>
          <w:szCs w:val="20"/>
        </w:rPr>
        <w:t>C</w:t>
      </w:r>
      <w:r w:rsidRPr="001B0A22">
        <w:rPr>
          <w:b/>
          <w:bCs/>
          <w:sz w:val="20"/>
          <w:szCs w:val="20"/>
        </w:rPr>
        <w:t>ourses</w:t>
      </w:r>
      <w:r>
        <w:rPr>
          <w:sz w:val="20"/>
          <w:szCs w:val="20"/>
        </w:rPr>
        <w:t xml:space="preserve"> </w:t>
      </w:r>
    </w:p>
    <w:p w14:paraId="4D2BB90B" w14:textId="77777777" w:rsidR="00872D90" w:rsidRDefault="00872D90" w:rsidP="00872D90">
      <w:pPr>
        <w:rPr>
          <w:sz w:val="20"/>
          <w:szCs w:val="20"/>
        </w:rPr>
      </w:pPr>
      <w:r>
        <w:rPr>
          <w:noProof/>
        </w:rPr>
        <w:drawing>
          <wp:inline distT="0" distB="0" distL="0" distR="0" wp14:anchorId="0C960EE8" wp14:editId="05BD52BE">
            <wp:extent cx="5731510" cy="2366010"/>
            <wp:effectExtent l="19050" t="19050" r="21590" b="1524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9"/>
                    <a:stretch>
                      <a:fillRect/>
                    </a:stretch>
                  </pic:blipFill>
                  <pic:spPr>
                    <a:xfrm>
                      <a:off x="0" y="0"/>
                      <a:ext cx="5731510" cy="2366010"/>
                    </a:xfrm>
                    <a:prstGeom prst="rect">
                      <a:avLst/>
                    </a:prstGeom>
                    <a:ln>
                      <a:solidFill>
                        <a:schemeClr val="tx1"/>
                      </a:solidFill>
                    </a:ln>
                  </pic:spPr>
                </pic:pic>
              </a:graphicData>
            </a:graphic>
          </wp:inline>
        </w:drawing>
      </w:r>
    </w:p>
    <w:p w14:paraId="2166A9F9" w14:textId="58B9D8F7" w:rsidR="00872D90" w:rsidRDefault="00872D90" w:rsidP="00872D90">
      <w:pPr>
        <w:rPr>
          <w:sz w:val="20"/>
          <w:szCs w:val="20"/>
        </w:rPr>
      </w:pPr>
      <w:r>
        <w:rPr>
          <w:sz w:val="20"/>
          <w:szCs w:val="20"/>
        </w:rPr>
        <w:t xml:space="preserve">Click </w:t>
      </w:r>
      <w:r w:rsidRPr="001B0A22">
        <w:rPr>
          <w:b/>
          <w:bCs/>
          <w:sz w:val="20"/>
          <w:szCs w:val="20"/>
        </w:rPr>
        <w:t>Next</w:t>
      </w:r>
    </w:p>
    <w:p w14:paraId="7A937A2A" w14:textId="1682B861" w:rsidR="00872D90" w:rsidRDefault="00872D90" w:rsidP="00872D90">
      <w:pPr>
        <w:rPr>
          <w:sz w:val="20"/>
          <w:szCs w:val="20"/>
        </w:rPr>
      </w:pPr>
      <w:r>
        <w:rPr>
          <w:sz w:val="20"/>
          <w:szCs w:val="20"/>
        </w:rPr>
        <w:t xml:space="preserve">The courses screen includes a filter for </w:t>
      </w:r>
      <w:r w:rsidRPr="001B0A22">
        <w:rPr>
          <w:b/>
          <w:bCs/>
          <w:sz w:val="20"/>
          <w:szCs w:val="20"/>
        </w:rPr>
        <w:t>Associated Lists</w:t>
      </w:r>
      <w:r>
        <w:rPr>
          <w:sz w:val="20"/>
          <w:szCs w:val="20"/>
        </w:rPr>
        <w:t xml:space="preserve">. Choose </w:t>
      </w:r>
      <w:r w:rsidR="001B0A22" w:rsidRPr="001B0A22">
        <w:rPr>
          <w:b/>
          <w:bCs/>
          <w:sz w:val="20"/>
          <w:szCs w:val="20"/>
        </w:rPr>
        <w:t>N</w:t>
      </w:r>
      <w:r w:rsidRPr="001B0A22">
        <w:rPr>
          <w:b/>
          <w:bCs/>
          <w:sz w:val="20"/>
          <w:szCs w:val="20"/>
        </w:rPr>
        <w:t>one</w:t>
      </w:r>
      <w:r>
        <w:rPr>
          <w:sz w:val="20"/>
          <w:szCs w:val="20"/>
        </w:rPr>
        <w:t xml:space="preserve"> to see all courses that don’t have a reading list</w:t>
      </w:r>
    </w:p>
    <w:p w14:paraId="06C28CC1" w14:textId="77777777" w:rsidR="00872D90" w:rsidRDefault="00872D90" w:rsidP="00872D90">
      <w:pPr>
        <w:rPr>
          <w:sz w:val="20"/>
          <w:szCs w:val="20"/>
        </w:rPr>
      </w:pPr>
      <w:r>
        <w:rPr>
          <w:noProof/>
        </w:rPr>
        <w:drawing>
          <wp:inline distT="0" distB="0" distL="0" distR="0" wp14:anchorId="263B7A7E" wp14:editId="0F369024">
            <wp:extent cx="5731510" cy="2981960"/>
            <wp:effectExtent l="19050" t="19050" r="21590" b="2794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10"/>
                    <a:stretch>
                      <a:fillRect/>
                    </a:stretch>
                  </pic:blipFill>
                  <pic:spPr>
                    <a:xfrm>
                      <a:off x="0" y="0"/>
                      <a:ext cx="5731510" cy="2981960"/>
                    </a:xfrm>
                    <a:prstGeom prst="rect">
                      <a:avLst/>
                    </a:prstGeom>
                    <a:ln>
                      <a:solidFill>
                        <a:schemeClr val="tx1"/>
                      </a:solidFill>
                    </a:ln>
                  </pic:spPr>
                </pic:pic>
              </a:graphicData>
            </a:graphic>
          </wp:inline>
        </w:drawing>
      </w:r>
    </w:p>
    <w:p w14:paraId="709E8660" w14:textId="751C25E6" w:rsidR="00872D90" w:rsidRDefault="00872D90" w:rsidP="00872D90">
      <w:pPr>
        <w:rPr>
          <w:sz w:val="20"/>
          <w:szCs w:val="20"/>
        </w:rPr>
      </w:pPr>
      <w:r>
        <w:rPr>
          <w:sz w:val="20"/>
          <w:szCs w:val="20"/>
        </w:rPr>
        <w:lastRenderedPageBreak/>
        <w:t xml:space="preserve">From there, add additional filters as needed (course year may be helpful) and choose </w:t>
      </w:r>
      <w:r w:rsidRPr="001B0A22">
        <w:rPr>
          <w:b/>
          <w:bCs/>
          <w:sz w:val="20"/>
          <w:szCs w:val="20"/>
        </w:rPr>
        <w:t>Save</w:t>
      </w:r>
    </w:p>
    <w:p w14:paraId="7604E724" w14:textId="7E275566" w:rsidR="001B0A22" w:rsidRDefault="001B0A22" w:rsidP="001B0A22">
      <w:pPr>
        <w:rPr>
          <w:b/>
          <w:bCs/>
          <w:color w:val="1F4E79"/>
        </w:rPr>
      </w:pPr>
      <w:r>
        <w:rPr>
          <w:b/>
          <w:bCs/>
          <w:color w:val="1F4E79"/>
        </w:rPr>
        <w:t>Archive the courses</w:t>
      </w:r>
      <w:r>
        <w:rPr>
          <w:b/>
          <w:bCs/>
          <w:color w:val="1F4E79"/>
        </w:rPr>
        <w:t xml:space="preserve">: </w:t>
      </w:r>
    </w:p>
    <w:p w14:paraId="4EEB42FF" w14:textId="77777777" w:rsidR="00F06F1C" w:rsidRPr="00F06F1C" w:rsidRDefault="00F06F1C" w:rsidP="00F06F1C">
      <w:pPr>
        <w:rPr>
          <w:b/>
          <w:bCs/>
          <w:sz w:val="20"/>
          <w:szCs w:val="20"/>
        </w:rPr>
      </w:pPr>
      <w:r>
        <w:rPr>
          <w:sz w:val="20"/>
          <w:szCs w:val="20"/>
        </w:rPr>
        <w:t xml:space="preserve">Go to </w:t>
      </w:r>
      <w:r w:rsidRPr="00F06F1C">
        <w:rPr>
          <w:b/>
          <w:bCs/>
          <w:sz w:val="20"/>
          <w:szCs w:val="20"/>
        </w:rPr>
        <w:t>Admin &gt; Run a Job</w:t>
      </w:r>
    </w:p>
    <w:p w14:paraId="32761D0F" w14:textId="77777777" w:rsidR="00F06F1C" w:rsidRDefault="00F06F1C" w:rsidP="00F06F1C">
      <w:pPr>
        <w:rPr>
          <w:sz w:val="20"/>
          <w:szCs w:val="20"/>
        </w:rPr>
      </w:pPr>
      <w:r>
        <w:rPr>
          <w:sz w:val="20"/>
          <w:szCs w:val="20"/>
        </w:rPr>
        <w:t xml:space="preserve">Find the </w:t>
      </w:r>
      <w:r w:rsidRPr="00F06F1C">
        <w:rPr>
          <w:b/>
          <w:bCs/>
          <w:sz w:val="20"/>
          <w:szCs w:val="20"/>
        </w:rPr>
        <w:t>Course Bulk Update</w:t>
      </w:r>
      <w:r>
        <w:rPr>
          <w:sz w:val="20"/>
          <w:szCs w:val="20"/>
        </w:rPr>
        <w:t xml:space="preserve"> job</w:t>
      </w:r>
    </w:p>
    <w:p w14:paraId="78459BEB" w14:textId="0A4DF423" w:rsidR="00F06F1C" w:rsidRDefault="00F06F1C" w:rsidP="00F06F1C">
      <w:pPr>
        <w:rPr>
          <w:sz w:val="20"/>
          <w:szCs w:val="20"/>
        </w:rPr>
      </w:pPr>
      <w:r>
        <w:rPr>
          <w:sz w:val="20"/>
          <w:szCs w:val="20"/>
        </w:rPr>
        <w:t>Select your new set</w:t>
      </w:r>
    </w:p>
    <w:p w14:paraId="217B6D8D" w14:textId="77777777" w:rsidR="00F06F1C" w:rsidRDefault="00F06F1C" w:rsidP="00F06F1C">
      <w:pPr>
        <w:rPr>
          <w:sz w:val="20"/>
          <w:szCs w:val="20"/>
        </w:rPr>
      </w:pPr>
      <w:r>
        <w:rPr>
          <w:sz w:val="20"/>
          <w:szCs w:val="20"/>
        </w:rPr>
        <w:t xml:space="preserve">On the Enter task parameters screen, select </w:t>
      </w:r>
      <w:r w:rsidRPr="00F06F1C">
        <w:rPr>
          <w:b/>
          <w:bCs/>
          <w:sz w:val="20"/>
          <w:szCs w:val="20"/>
        </w:rPr>
        <w:t>Set course visibility</w:t>
      </w:r>
      <w:r>
        <w:rPr>
          <w:sz w:val="20"/>
          <w:szCs w:val="20"/>
        </w:rPr>
        <w:t xml:space="preserve"> and choose </w:t>
      </w:r>
      <w:r w:rsidRPr="00F06F1C">
        <w:rPr>
          <w:b/>
          <w:bCs/>
          <w:sz w:val="20"/>
          <w:szCs w:val="20"/>
        </w:rPr>
        <w:t>Archived</w:t>
      </w:r>
      <w:r>
        <w:rPr>
          <w:sz w:val="20"/>
          <w:szCs w:val="20"/>
        </w:rPr>
        <w:t xml:space="preserve"> from the drop down:</w:t>
      </w:r>
    </w:p>
    <w:p w14:paraId="17267259" w14:textId="77777777" w:rsidR="00F06F1C" w:rsidRDefault="00F06F1C" w:rsidP="00F06F1C">
      <w:pPr>
        <w:rPr>
          <w:sz w:val="20"/>
          <w:szCs w:val="20"/>
        </w:rPr>
      </w:pPr>
      <w:r>
        <w:rPr>
          <w:noProof/>
        </w:rPr>
        <w:drawing>
          <wp:inline distT="0" distB="0" distL="0" distR="0" wp14:anchorId="6FAB0BDC" wp14:editId="52F40450">
            <wp:extent cx="5731510" cy="2887980"/>
            <wp:effectExtent l="19050" t="19050" r="21590" b="2667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11"/>
                    <a:stretch>
                      <a:fillRect/>
                    </a:stretch>
                  </pic:blipFill>
                  <pic:spPr>
                    <a:xfrm>
                      <a:off x="0" y="0"/>
                      <a:ext cx="5731510" cy="2887980"/>
                    </a:xfrm>
                    <a:prstGeom prst="rect">
                      <a:avLst/>
                    </a:prstGeom>
                    <a:ln>
                      <a:solidFill>
                        <a:schemeClr val="tx1"/>
                      </a:solidFill>
                    </a:ln>
                  </pic:spPr>
                </pic:pic>
              </a:graphicData>
            </a:graphic>
          </wp:inline>
        </w:drawing>
      </w:r>
    </w:p>
    <w:p w14:paraId="38FD75AF" w14:textId="77777777" w:rsidR="00F06F1C" w:rsidRDefault="00F06F1C" w:rsidP="00F06F1C">
      <w:pPr>
        <w:ind w:left="720"/>
        <w:rPr>
          <w:sz w:val="20"/>
          <w:szCs w:val="20"/>
        </w:rPr>
      </w:pPr>
    </w:p>
    <w:p w14:paraId="6E987AA3" w14:textId="77777777" w:rsidR="00F06F1C" w:rsidRDefault="00F06F1C" w:rsidP="00F06F1C">
      <w:pPr>
        <w:ind w:left="720"/>
        <w:rPr>
          <w:sz w:val="20"/>
          <w:szCs w:val="20"/>
        </w:rPr>
      </w:pPr>
      <w:r w:rsidRPr="00F06F1C">
        <w:rPr>
          <w:b/>
          <w:bCs/>
          <w:sz w:val="20"/>
          <w:szCs w:val="20"/>
        </w:rPr>
        <w:t>NOTE:</w:t>
      </w:r>
      <w:r>
        <w:rPr>
          <w:sz w:val="20"/>
          <w:szCs w:val="20"/>
        </w:rPr>
        <w:t xml:space="preserve"> You can choose to either delete courses or archive courses from this screen. We recommend archiving because the data about the courses is preserved in analytics. In knowing that the courses existed, you could potentially build reports such as “what percentage of courses in a given department had reading lists”. </w:t>
      </w:r>
    </w:p>
    <w:p w14:paraId="6AA5A4AA" w14:textId="7A3108B6" w:rsidR="00F06F1C" w:rsidRPr="00341D00" w:rsidRDefault="00F06F1C" w:rsidP="00F06F1C">
      <w:pPr>
        <w:rPr>
          <w:sz w:val="20"/>
          <w:szCs w:val="20"/>
        </w:rPr>
      </w:pPr>
      <w:r>
        <w:rPr>
          <w:sz w:val="20"/>
          <w:szCs w:val="20"/>
        </w:rPr>
        <w:t xml:space="preserve">Select </w:t>
      </w:r>
      <w:r w:rsidRPr="00F06F1C">
        <w:rPr>
          <w:b/>
          <w:bCs/>
          <w:sz w:val="20"/>
          <w:szCs w:val="20"/>
        </w:rPr>
        <w:t>Next</w:t>
      </w:r>
      <w:r>
        <w:rPr>
          <w:sz w:val="20"/>
          <w:szCs w:val="20"/>
        </w:rPr>
        <w:t xml:space="preserve"> to review the job parameters, then click </w:t>
      </w:r>
      <w:r w:rsidRPr="00F06F1C">
        <w:rPr>
          <w:b/>
          <w:bCs/>
          <w:sz w:val="20"/>
          <w:szCs w:val="20"/>
        </w:rPr>
        <w:t>S</w:t>
      </w:r>
      <w:r w:rsidRPr="00F06F1C">
        <w:rPr>
          <w:b/>
          <w:bCs/>
          <w:sz w:val="20"/>
          <w:szCs w:val="20"/>
        </w:rPr>
        <w:t>ubmit</w:t>
      </w:r>
      <w:r>
        <w:rPr>
          <w:sz w:val="20"/>
          <w:szCs w:val="20"/>
        </w:rPr>
        <w:t xml:space="preserve">. </w:t>
      </w:r>
    </w:p>
    <w:p w14:paraId="2FCA1142" w14:textId="77777777" w:rsidR="001B0A22" w:rsidRDefault="001B0A22" w:rsidP="00872D90">
      <w:pPr>
        <w:rPr>
          <w:sz w:val="20"/>
          <w:szCs w:val="20"/>
        </w:rPr>
      </w:pPr>
    </w:p>
    <w:p w14:paraId="5BAAFE20" w14:textId="77777777" w:rsidR="001F77CF" w:rsidRPr="00BE06EB" w:rsidRDefault="003D6198" w:rsidP="001F77CF">
      <w:pPr>
        <w:rPr>
          <w:b/>
          <w:bCs/>
          <w:color w:val="1F4E79"/>
        </w:rPr>
      </w:pPr>
      <w:r w:rsidRPr="00BE06EB">
        <w:rPr>
          <w:b/>
          <w:bCs/>
          <w:color w:val="1F4E79"/>
        </w:rPr>
        <w:t xml:space="preserve">See: </w:t>
      </w:r>
    </w:p>
    <w:p w14:paraId="083CC9F1" w14:textId="3058D9DF" w:rsidR="003D6198" w:rsidRDefault="00000000" w:rsidP="00BE06EB">
      <w:pPr>
        <w:ind w:left="720"/>
        <w:rPr>
          <w:rStyle w:val="Hyperlink"/>
        </w:rPr>
      </w:pPr>
      <w:hyperlink r:id="rId12" w:history="1">
        <w:r w:rsidR="00B14419">
          <w:rPr>
            <w:rStyle w:val="Hyperlink"/>
          </w:rPr>
          <w:t>Video</w:t>
        </w:r>
      </w:hyperlink>
      <w:r w:rsidR="00722A63">
        <w:rPr>
          <w:rStyle w:val="Hyperlink"/>
        </w:rPr>
        <w:t xml:space="preserve">: </w:t>
      </w:r>
      <w:r w:rsidR="00722A63" w:rsidRPr="00722A63">
        <w:rPr>
          <w:rStyle w:val="Hyperlink"/>
        </w:rPr>
        <w:t>Archiving Courses in Leganto</w:t>
      </w:r>
    </w:p>
    <w:p w14:paraId="11D0B36F" w14:textId="5575CD73" w:rsidR="001F77CF" w:rsidRDefault="001F77CF" w:rsidP="00BE06EB">
      <w:pPr>
        <w:ind w:left="720"/>
        <w:rPr>
          <w:sz w:val="20"/>
          <w:szCs w:val="20"/>
        </w:rPr>
      </w:pPr>
      <w:hyperlink r:id="rId13" w:history="1">
        <w:r w:rsidRPr="001F77CF">
          <w:rPr>
            <w:rStyle w:val="Hyperlink"/>
            <w:sz w:val="20"/>
            <w:szCs w:val="20"/>
          </w:rPr>
          <w:t>Documentation: Manual Jobs</w:t>
        </w:r>
      </w:hyperlink>
    </w:p>
    <w:p w14:paraId="7E44AACD" w14:textId="3CCB9318" w:rsidR="00BE06EB" w:rsidRPr="001F77CF" w:rsidRDefault="00BE06EB" w:rsidP="00BE06EB">
      <w:pPr>
        <w:ind w:left="720"/>
        <w:rPr>
          <w:sz w:val="20"/>
          <w:szCs w:val="20"/>
        </w:rPr>
      </w:pPr>
      <w:hyperlink r:id="rId14" w:history="1">
        <w:r w:rsidRPr="00BE06EB">
          <w:rPr>
            <w:rStyle w:val="Hyperlink"/>
            <w:sz w:val="20"/>
            <w:szCs w:val="20"/>
          </w:rPr>
          <w:t>Documentation: Managing Search Queries and Sets</w:t>
        </w:r>
      </w:hyperlink>
    </w:p>
    <w:p w14:paraId="6D6CB353" w14:textId="7F1B47ED" w:rsidR="00BB6032" w:rsidRDefault="00BB6032" w:rsidP="00BB6032">
      <w:pPr>
        <w:jc w:val="center"/>
        <w:rPr>
          <w:b/>
          <w:bCs/>
        </w:rPr>
      </w:pPr>
    </w:p>
    <w:sectPr w:rsidR="00BB6032" w:rsidSect="00065304">
      <w:headerReference w:type="default" r:id="rId15"/>
      <w:footerReference w:type="default" r:id="rId16"/>
      <w:pgSz w:w="12240" w:h="15840"/>
      <w:pgMar w:top="187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7D82" w14:textId="77777777" w:rsidR="008E395F" w:rsidRDefault="008E395F" w:rsidP="00516974">
      <w:pPr>
        <w:spacing w:after="0" w:line="240" w:lineRule="auto"/>
      </w:pPr>
      <w:r>
        <w:separator/>
      </w:r>
    </w:p>
  </w:endnote>
  <w:endnote w:type="continuationSeparator" w:id="0">
    <w:p w14:paraId="1B1D5ABF" w14:textId="77777777" w:rsidR="008E395F" w:rsidRDefault="008E395F" w:rsidP="0051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187B" w14:textId="639B74C6" w:rsidR="00F47B11" w:rsidRDefault="00F47B11" w:rsidP="00F47B11">
    <w:pPr>
      <w:pStyle w:val="Footer"/>
      <w:jc w:val="center"/>
    </w:pPr>
    <w:r w:rsidRPr="008304C6">
      <w:rPr>
        <w:rFonts w:ascii="Palatino Linotype" w:hAnsi="Palatino Linotype"/>
        <w:noProof/>
      </w:rPr>
      <w:drawing>
        <wp:inline distT="0" distB="0" distL="0" distR="0" wp14:anchorId="2DC0EC61" wp14:editId="17744C2F">
          <wp:extent cx="55816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5250"/>
                  </a:xfrm>
                  <a:prstGeom prst="rect">
                    <a:avLst/>
                  </a:prstGeom>
                  <a:noFill/>
                  <a:ln>
                    <a:noFill/>
                  </a:ln>
                </pic:spPr>
              </pic:pic>
            </a:graphicData>
          </a:graphic>
        </wp:inline>
      </w:drawing>
    </w:r>
  </w:p>
  <w:p w14:paraId="4B23C7B8" w14:textId="77777777" w:rsidR="00507221" w:rsidRPr="00507221" w:rsidRDefault="00507221" w:rsidP="00507221">
    <w:pPr>
      <w:pStyle w:val="Footer"/>
      <w:ind w:left="-284"/>
      <w:rPr>
        <w:rFonts w:ascii="Calibri" w:hAnsi="Calibri" w:cs="Calibri"/>
        <w:color w:val="000000"/>
        <w:sz w:val="20"/>
      </w:rPr>
    </w:pPr>
    <w:r w:rsidRPr="00507221">
      <w:rPr>
        <w:rFonts w:ascii="Calibri" w:hAnsi="Calibri" w:cs="Calibri"/>
        <w:color w:val="000000"/>
        <w:sz w:val="20"/>
      </w:rPr>
      <w:t xml:space="preserve">Archive courses that don’t have reading lists </w:t>
    </w:r>
  </w:p>
  <w:p w14:paraId="726D1F51" w14:textId="33868832" w:rsidR="00F47B11" w:rsidRPr="008304C6" w:rsidRDefault="00F47B11" w:rsidP="00F47B11">
    <w:pPr>
      <w:pStyle w:val="Footer"/>
      <w:ind w:left="-284"/>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sidRPr="008304C6">
      <w:rPr>
        <w:rFonts w:ascii="Calibri" w:hAnsi="Calibri" w:cs="Calibri"/>
        <w:color w:val="000000"/>
        <w:sz w:val="20"/>
      </w:rPr>
      <w:t xml:space="preserve">                        </w:t>
    </w:r>
    <w:r>
      <w:rPr>
        <w:rFonts w:ascii="Calibri" w:hAnsi="Calibri" w:cs="Calibri"/>
        <w:color w:val="000000"/>
        <w:sz w:val="20"/>
      </w:rPr>
      <w:t xml:space="preserve">                          </w:t>
    </w:r>
    <w:r w:rsidRPr="008304C6">
      <w:rPr>
        <w:rFonts w:ascii="Calibri" w:hAnsi="Calibri" w:cs="Calibri"/>
        <w:color w:val="000000"/>
        <w:sz w:val="20"/>
      </w:rPr>
      <w:t xml:space="preserve">Page </w:t>
    </w:r>
    <w:r w:rsidRPr="008304C6">
      <w:rPr>
        <w:rFonts w:ascii="Calibri" w:hAnsi="Calibri" w:cs="Calibri"/>
        <w:color w:val="000000"/>
        <w:sz w:val="20"/>
      </w:rPr>
      <w:fldChar w:fldCharType="begin"/>
    </w:r>
    <w:r w:rsidRPr="008304C6">
      <w:rPr>
        <w:rFonts w:ascii="Calibri" w:hAnsi="Calibri" w:cs="Calibri"/>
        <w:color w:val="000000"/>
        <w:sz w:val="20"/>
      </w:rPr>
      <w:instrText xml:space="preserve"> PAGE </w:instrText>
    </w:r>
    <w:r w:rsidRPr="008304C6">
      <w:rPr>
        <w:rFonts w:ascii="Calibri" w:hAnsi="Calibri" w:cs="Calibri"/>
        <w:color w:val="000000"/>
        <w:sz w:val="20"/>
      </w:rPr>
      <w:fldChar w:fldCharType="separate"/>
    </w:r>
    <w:r>
      <w:rPr>
        <w:rFonts w:ascii="Calibri" w:hAnsi="Calibri" w:cs="Calibri"/>
        <w:color w:val="000000"/>
        <w:sz w:val="20"/>
      </w:rPr>
      <w:t>1</w:t>
    </w:r>
    <w:r w:rsidRPr="008304C6">
      <w:rPr>
        <w:rFonts w:ascii="Calibri" w:hAnsi="Calibri" w:cs="Calibri"/>
        <w:color w:val="000000"/>
        <w:sz w:val="20"/>
      </w:rPr>
      <w:fldChar w:fldCharType="end"/>
    </w:r>
  </w:p>
  <w:p w14:paraId="77CD209F" w14:textId="77777777" w:rsidR="00F47B11" w:rsidRDefault="00F4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B88C" w14:textId="77777777" w:rsidR="008E395F" w:rsidRDefault="008E395F" w:rsidP="00516974">
      <w:pPr>
        <w:spacing w:after="0" w:line="240" w:lineRule="auto"/>
      </w:pPr>
      <w:r>
        <w:separator/>
      </w:r>
    </w:p>
  </w:footnote>
  <w:footnote w:type="continuationSeparator" w:id="0">
    <w:p w14:paraId="7303017D" w14:textId="77777777" w:rsidR="008E395F" w:rsidRDefault="008E395F" w:rsidP="0051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F556" w14:textId="58088DC3" w:rsidR="00516974" w:rsidRDefault="00516974">
    <w:pPr>
      <w:pStyle w:val="Header"/>
    </w:pPr>
    <w:r>
      <w:rPr>
        <w:noProof/>
      </w:rPr>
      <w:drawing>
        <wp:anchor distT="0" distB="0" distL="114300" distR="114300" simplePos="0" relativeHeight="251658240" behindDoc="0" locked="0" layoutInCell="1" allowOverlap="1" wp14:anchorId="3A445285" wp14:editId="7F8CAC13">
          <wp:simplePos x="0" y="0"/>
          <wp:positionH relativeFrom="column">
            <wp:posOffset>-323850</wp:posOffset>
          </wp:positionH>
          <wp:positionV relativeFrom="paragraph">
            <wp:posOffset>-302895</wp:posOffset>
          </wp:positionV>
          <wp:extent cx="1485900" cy="857250"/>
          <wp:effectExtent l="0" t="0" r="0" b="0"/>
          <wp:wrapSquare wrapText="bothSides"/>
          <wp:docPr id="9" name="Picture 9" descr="Leg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2"/>
    <w:rsid w:val="00065304"/>
    <w:rsid w:val="0008395C"/>
    <w:rsid w:val="0015043C"/>
    <w:rsid w:val="001830D1"/>
    <w:rsid w:val="001B0A22"/>
    <w:rsid w:val="001B1A0B"/>
    <w:rsid w:val="001D0BF4"/>
    <w:rsid w:val="001D5229"/>
    <w:rsid w:val="001D7174"/>
    <w:rsid w:val="001F77CF"/>
    <w:rsid w:val="00200269"/>
    <w:rsid w:val="00202143"/>
    <w:rsid w:val="002878C8"/>
    <w:rsid w:val="002B1E17"/>
    <w:rsid w:val="002D70EF"/>
    <w:rsid w:val="00327121"/>
    <w:rsid w:val="00376F14"/>
    <w:rsid w:val="003D6198"/>
    <w:rsid w:val="003E04D0"/>
    <w:rsid w:val="00507221"/>
    <w:rsid w:val="00516974"/>
    <w:rsid w:val="00527E6B"/>
    <w:rsid w:val="00545CEE"/>
    <w:rsid w:val="0057382B"/>
    <w:rsid w:val="0060097E"/>
    <w:rsid w:val="00615333"/>
    <w:rsid w:val="00632968"/>
    <w:rsid w:val="006377B7"/>
    <w:rsid w:val="00654542"/>
    <w:rsid w:val="00722A63"/>
    <w:rsid w:val="00736726"/>
    <w:rsid w:val="007664A2"/>
    <w:rsid w:val="007D0CBB"/>
    <w:rsid w:val="0080112D"/>
    <w:rsid w:val="00804D9A"/>
    <w:rsid w:val="008450FC"/>
    <w:rsid w:val="00872D90"/>
    <w:rsid w:val="008D591D"/>
    <w:rsid w:val="008E395F"/>
    <w:rsid w:val="00995EC3"/>
    <w:rsid w:val="00A2549A"/>
    <w:rsid w:val="00A255AA"/>
    <w:rsid w:val="00A27285"/>
    <w:rsid w:val="00A7082B"/>
    <w:rsid w:val="00A86D9D"/>
    <w:rsid w:val="00AF4896"/>
    <w:rsid w:val="00B0579A"/>
    <w:rsid w:val="00B14419"/>
    <w:rsid w:val="00BB6032"/>
    <w:rsid w:val="00BE06EB"/>
    <w:rsid w:val="00CA23D4"/>
    <w:rsid w:val="00CC2C15"/>
    <w:rsid w:val="00CF2A93"/>
    <w:rsid w:val="00D933CA"/>
    <w:rsid w:val="00DB0763"/>
    <w:rsid w:val="00E571F2"/>
    <w:rsid w:val="00E64F12"/>
    <w:rsid w:val="00E73052"/>
    <w:rsid w:val="00E916CE"/>
    <w:rsid w:val="00EB2E65"/>
    <w:rsid w:val="00EC06DD"/>
    <w:rsid w:val="00EC0B8C"/>
    <w:rsid w:val="00EF4455"/>
    <w:rsid w:val="00F06F1C"/>
    <w:rsid w:val="00F22D82"/>
    <w:rsid w:val="00F33B8A"/>
    <w:rsid w:val="00F47B11"/>
    <w:rsid w:val="00F72C7D"/>
    <w:rsid w:val="00F817BD"/>
    <w:rsid w:val="00F85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7D0A3"/>
  <w15:chartTrackingRefBased/>
  <w15:docId w15:val="{A021B9AC-D791-4E01-9F32-02B74CA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22"/>
  </w:style>
  <w:style w:type="paragraph" w:styleId="Heading1">
    <w:name w:val="heading 1"/>
    <w:basedOn w:val="Normal"/>
    <w:next w:val="Normal"/>
    <w:link w:val="Heading1Char"/>
    <w:uiPriority w:val="9"/>
    <w:qFormat/>
    <w:rsid w:val="00E5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1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74"/>
  </w:style>
  <w:style w:type="paragraph" w:styleId="Footer">
    <w:name w:val="footer"/>
    <w:basedOn w:val="Normal"/>
    <w:link w:val="FooterChar"/>
    <w:uiPriority w:val="99"/>
    <w:unhideWhenUsed/>
    <w:rsid w:val="0051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74"/>
  </w:style>
  <w:style w:type="character" w:styleId="Hyperlink">
    <w:name w:val="Hyperlink"/>
    <w:basedOn w:val="DefaultParagraphFont"/>
    <w:uiPriority w:val="99"/>
    <w:unhideWhenUsed/>
    <w:rsid w:val="002D70EF"/>
    <w:rPr>
      <w:color w:val="0563C1" w:themeColor="hyperlink"/>
      <w:u w:val="single"/>
    </w:rPr>
  </w:style>
  <w:style w:type="character" w:styleId="UnresolvedMention">
    <w:name w:val="Unresolved Mention"/>
    <w:basedOn w:val="DefaultParagraphFont"/>
    <w:uiPriority w:val="99"/>
    <w:semiHidden/>
    <w:unhideWhenUsed/>
    <w:rsid w:val="002D70EF"/>
    <w:rPr>
      <w:color w:val="605E5C"/>
      <w:shd w:val="clear" w:color="auto" w:fill="E1DFDD"/>
    </w:rPr>
  </w:style>
  <w:style w:type="character" w:customStyle="1" w:styleId="Heading2Char">
    <w:name w:val="Heading 2 Char"/>
    <w:basedOn w:val="DefaultParagraphFont"/>
    <w:link w:val="Heading2"/>
    <w:uiPriority w:val="9"/>
    <w:semiHidden/>
    <w:rsid w:val="0080112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0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9A"/>
    <w:rPr>
      <w:rFonts w:ascii="Segoe UI" w:hAnsi="Segoe UI" w:cs="Segoe UI"/>
      <w:sz w:val="18"/>
      <w:szCs w:val="18"/>
    </w:rPr>
  </w:style>
  <w:style w:type="character" w:styleId="FollowedHyperlink">
    <w:name w:val="FollowedHyperlink"/>
    <w:basedOn w:val="DefaultParagraphFont"/>
    <w:uiPriority w:val="99"/>
    <w:semiHidden/>
    <w:unhideWhenUsed/>
    <w:rsid w:val="00B14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4423">
      <w:bodyDiv w:val="1"/>
      <w:marLeft w:val="0"/>
      <w:marRight w:val="0"/>
      <w:marTop w:val="0"/>
      <w:marBottom w:val="0"/>
      <w:divBdr>
        <w:top w:val="none" w:sz="0" w:space="0" w:color="auto"/>
        <w:left w:val="none" w:sz="0" w:space="0" w:color="auto"/>
        <w:bottom w:val="none" w:sz="0" w:space="0" w:color="auto"/>
        <w:right w:val="none" w:sz="0" w:space="0" w:color="auto"/>
      </w:divBdr>
    </w:div>
    <w:div w:id="640421772">
      <w:bodyDiv w:val="1"/>
      <w:marLeft w:val="0"/>
      <w:marRight w:val="0"/>
      <w:marTop w:val="0"/>
      <w:marBottom w:val="0"/>
      <w:divBdr>
        <w:top w:val="none" w:sz="0" w:space="0" w:color="auto"/>
        <w:left w:val="none" w:sz="0" w:space="0" w:color="auto"/>
        <w:bottom w:val="none" w:sz="0" w:space="0" w:color="auto"/>
        <w:right w:val="none" w:sz="0" w:space="0" w:color="auto"/>
      </w:divBdr>
    </w:div>
    <w:div w:id="1523976616">
      <w:bodyDiv w:val="1"/>
      <w:marLeft w:val="0"/>
      <w:marRight w:val="0"/>
      <w:marTop w:val="0"/>
      <w:marBottom w:val="0"/>
      <w:divBdr>
        <w:top w:val="none" w:sz="0" w:space="0" w:color="auto"/>
        <w:left w:val="none" w:sz="0" w:space="0" w:color="auto"/>
        <w:bottom w:val="none" w:sz="0" w:space="0" w:color="auto"/>
        <w:right w:val="none" w:sz="0" w:space="0" w:color="auto"/>
      </w:divBdr>
      <w:divsChild>
        <w:div w:id="111031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nowledge.exlibrisgroup.com/Alma/Product_Documentation/010Alma_Online_Help_(English)/050Administration/070Managing_Jobs/020Manual_Jobs_on_Defined_S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outu.be/XpJlpPKqUF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nowledge.exlibrisgroup.com/Alma/Product_Documentation/010Alma_Online_Help_(English)/050Administration/080Managing_Search_Queries_and_S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C0232-892B-4172-9EFF-4579A18BFFBA}">
  <ds:schemaRefs>
    <ds:schemaRef ds:uri="http://schemas.microsoft.com/sharepoint/v3/contenttype/forms"/>
  </ds:schemaRefs>
</ds:datastoreItem>
</file>

<file path=customXml/itemProps2.xml><?xml version="1.0" encoding="utf-8"?>
<ds:datastoreItem xmlns:ds="http://schemas.openxmlformats.org/officeDocument/2006/customXml" ds:itemID="{440FC7E0-559A-4F6E-ADD3-9EE75312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D9B05-B7CD-44E9-8532-EB5D5202E75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12</cp:revision>
  <dcterms:created xsi:type="dcterms:W3CDTF">2023-07-27T16:56:00Z</dcterms:created>
  <dcterms:modified xsi:type="dcterms:W3CDTF">2023-07-27T17:08:00Z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