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1985"/>
      </w:tblGrid>
      <w:tr w:rsidR="005E5132" w:rsidTr="005E5132">
        <w:trPr>
          <w:trHeight w:val="520"/>
        </w:trPr>
        <w:tc>
          <w:tcPr>
            <w:tcW w:w="9214" w:type="dxa"/>
            <w:vAlign w:val="center"/>
            <w:hideMark/>
          </w:tcPr>
          <w:p w:rsidR="005E5132" w:rsidRDefault="005E5132">
            <w:pPr>
              <w:pStyle w:val="NoSpacing"/>
              <w:rPr>
                <w:rFonts w:asciiTheme="minorBidi" w:hAnsiTheme="minorBidi"/>
                <w:b/>
                <w:bCs/>
                <w:sz w:val="38"/>
                <w:szCs w:val="38"/>
                <w:lang w:bidi="he-IL"/>
              </w:rPr>
            </w:pPr>
            <w:r w:rsidRPr="005E5132">
              <w:rPr>
                <w:rFonts w:asciiTheme="minorBidi" w:hAnsiTheme="minorBidi"/>
                <w:b/>
                <w:sz w:val="38"/>
                <w:szCs w:val="38"/>
                <w:lang w:bidi="he-IL"/>
              </w:rPr>
              <w:t>Merge rules syntax for copy cataloging</w:t>
            </w:r>
          </w:p>
        </w:tc>
        <w:tc>
          <w:tcPr>
            <w:tcW w:w="1985" w:type="dxa"/>
            <w:hideMark/>
          </w:tcPr>
          <w:p w:rsidR="005E5132" w:rsidRDefault="005E5132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  <w:lang w:bidi="he-IL"/>
              </w:rPr>
              <w:drawing>
                <wp:inline distT="0" distB="0" distL="0" distR="0">
                  <wp:extent cx="1043940" cy="56070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132" w:rsidRDefault="005E5132" w:rsidP="005E5132">
      <w:pPr>
        <w:pStyle w:val="NoSpacing"/>
      </w:pPr>
      <w:r>
        <w:rPr>
          <w:noProof/>
        </w:rPr>
        <w:drawing>
          <wp:inline distT="0" distB="0" distL="0" distR="0">
            <wp:extent cx="6461125" cy="120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32" w:rsidRDefault="005E5132" w:rsidP="00C535D1">
      <w:pPr>
        <w:pStyle w:val="NoSpacing"/>
        <w:jc w:val="center"/>
        <w:rPr>
          <w:b/>
          <w:bCs/>
        </w:rPr>
      </w:pPr>
    </w:p>
    <w:p w:rsidR="00C535D1" w:rsidRDefault="00C535D1" w:rsidP="00412F29">
      <w:pPr>
        <w:pStyle w:val="NoSpacing"/>
      </w:pPr>
      <w:bookmarkStart w:id="0" w:name="_GoBack"/>
      <w:bookmarkEnd w:id="0"/>
    </w:p>
    <w:p w:rsidR="00D8110A" w:rsidRDefault="005E5132" w:rsidP="00412F29">
      <w:pPr>
        <w:pStyle w:val="NoSpacing"/>
      </w:pPr>
      <w:r>
        <w:fldChar w:fldCharType="begin"/>
      </w:r>
      <w:r>
        <w:instrText xml:space="preserve"> HYPERLINK \l "Introduction" </w:instrText>
      </w:r>
      <w:r>
        <w:fldChar w:fldCharType="separate"/>
      </w:r>
      <w:r w:rsidR="00D8110A" w:rsidRPr="00747181">
        <w:rPr>
          <w:rStyle w:val="Hyperlink"/>
        </w:rPr>
        <w:t>Introduction</w:t>
      </w:r>
      <w:r>
        <w:rPr>
          <w:rStyle w:val="Hyperlink"/>
        </w:rPr>
        <w:fldChar w:fldCharType="end"/>
      </w:r>
    </w:p>
    <w:bookmarkStart w:id="1" w:name="threemaincommands"/>
    <w:p w:rsidR="00D8110A" w:rsidRDefault="00747181" w:rsidP="00412F29">
      <w:pPr>
        <w:pStyle w:val="NoSpacing"/>
      </w:pPr>
      <w:r>
        <w:fldChar w:fldCharType="begin"/>
      </w:r>
      <w:r>
        <w:instrText xml:space="preserve"> HYPERLINK  \l "threemaincommands" </w:instrText>
      </w:r>
      <w:r>
        <w:fldChar w:fldCharType="separate"/>
      </w:r>
      <w:r w:rsidRPr="00747181">
        <w:rPr>
          <w:rStyle w:val="Hyperlink"/>
        </w:rPr>
        <w:t>The three main commands</w:t>
      </w:r>
      <w:r>
        <w:fldChar w:fldCharType="end"/>
      </w:r>
    </w:p>
    <w:bookmarkEnd w:id="1"/>
    <w:p w:rsidR="00747181" w:rsidRDefault="00747181" w:rsidP="00412F29">
      <w:pPr>
        <w:pStyle w:val="NoSpacing"/>
      </w:pPr>
      <w:r>
        <w:fldChar w:fldCharType="begin"/>
      </w:r>
      <w:r>
        <w:instrText xml:space="preserve"> HYPERLINK  \l "sampledata" </w:instrText>
      </w:r>
      <w:r>
        <w:fldChar w:fldCharType="separate"/>
      </w:r>
      <w:r w:rsidRPr="00747181">
        <w:rPr>
          <w:rStyle w:val="Hyperlink"/>
        </w:rPr>
        <w:t>Sample data</w:t>
      </w:r>
      <w:r>
        <w:fldChar w:fldCharType="end"/>
      </w:r>
    </w:p>
    <w:p w:rsidR="00747181" w:rsidRDefault="005E5132" w:rsidP="00412F29">
      <w:pPr>
        <w:pStyle w:val="NoSpacing"/>
      </w:pPr>
      <w:hyperlink w:anchor="wanttohappenintherule" w:history="1">
        <w:r w:rsidR="00747181" w:rsidRPr="00747181">
          <w:rPr>
            <w:rStyle w:val="Hyperlink"/>
          </w:rPr>
          <w:t>What we want to happen in the rule</w:t>
        </w:r>
      </w:hyperlink>
    </w:p>
    <w:p w:rsidR="00747181" w:rsidRDefault="005E5132" w:rsidP="00412F29">
      <w:pPr>
        <w:pStyle w:val="NoSpacing"/>
      </w:pPr>
      <w:hyperlink w:anchor="sampleruleexplained" w:history="1">
        <w:r w:rsidR="00747181" w:rsidRPr="00747181">
          <w:rPr>
            <w:rStyle w:val="Hyperlink"/>
          </w:rPr>
          <w:t>The sample rule explained</w:t>
        </w:r>
      </w:hyperlink>
    </w:p>
    <w:p w:rsidR="00747181" w:rsidRDefault="005E5132" w:rsidP="00412F29">
      <w:pPr>
        <w:pStyle w:val="NoSpacing"/>
      </w:pPr>
      <w:hyperlink w:anchor="samplerule" w:history="1">
        <w:r w:rsidR="00747181" w:rsidRPr="00747181">
          <w:rPr>
            <w:rStyle w:val="Hyperlink"/>
          </w:rPr>
          <w:t>The sample rule</w:t>
        </w:r>
      </w:hyperlink>
    </w:p>
    <w:p w:rsidR="00747181" w:rsidRDefault="005E5132" w:rsidP="00412F29">
      <w:pPr>
        <w:pStyle w:val="NoSpacing"/>
      </w:pPr>
      <w:hyperlink w:anchor="results" w:history="1">
        <w:r w:rsidR="00747181" w:rsidRPr="00747181">
          <w:rPr>
            <w:rStyle w:val="Hyperlink"/>
          </w:rPr>
          <w:t>The results and data</w:t>
        </w:r>
      </w:hyperlink>
    </w:p>
    <w:p w:rsidR="00D8110A" w:rsidRDefault="005E5132" w:rsidP="00412F29">
      <w:pPr>
        <w:pStyle w:val="NoSpacing"/>
      </w:pPr>
      <w:hyperlink w:anchor="MergeAndCombine" w:history="1">
        <w:r w:rsidR="00BB3E3F" w:rsidRPr="00BB3E3F">
          <w:rPr>
            <w:rStyle w:val="Hyperlink"/>
          </w:rPr>
          <w:t>The case of “Merge and combine inventory”</w:t>
        </w:r>
      </w:hyperlink>
    </w:p>
    <w:p w:rsidR="00BB3E3F" w:rsidRDefault="00BB3E3F" w:rsidP="00412F29">
      <w:pPr>
        <w:pStyle w:val="NoSpacing"/>
      </w:pPr>
    </w:p>
    <w:p w:rsidR="002B2682" w:rsidRPr="002B2682" w:rsidRDefault="002B2682" w:rsidP="00412F29">
      <w:pPr>
        <w:pStyle w:val="NoSpacing"/>
        <w:rPr>
          <w:b/>
          <w:bCs/>
        </w:rPr>
      </w:pPr>
      <w:bookmarkStart w:id="2" w:name="Introduction"/>
      <w:bookmarkEnd w:id="2"/>
      <w:r w:rsidRPr="002B2682">
        <w:rPr>
          <w:b/>
          <w:bCs/>
        </w:rPr>
        <w:t>Introduction</w:t>
      </w:r>
    </w:p>
    <w:p w:rsidR="0000238D" w:rsidRDefault="0000238D" w:rsidP="00412F29">
      <w:pPr>
        <w:pStyle w:val="NoSpacing"/>
      </w:pPr>
    </w:p>
    <w:p w:rsidR="00D8110A" w:rsidRPr="00D8110A" w:rsidRDefault="00D8110A" w:rsidP="00D8110A">
      <w:pPr>
        <w:pStyle w:val="NoSpacing"/>
      </w:pPr>
      <w:r w:rsidRPr="00D8110A">
        <w:t>In addition to the information below see also the On Line Help</w:t>
      </w:r>
      <w:r>
        <w:t>.</w:t>
      </w:r>
    </w:p>
    <w:p w:rsidR="00D8110A" w:rsidRDefault="001E501F" w:rsidP="00412F29">
      <w:pPr>
        <w:pStyle w:val="NoSpacing"/>
      </w:pPr>
      <w:r>
        <w:t xml:space="preserve">In this document we will show how to make a merge routine which will be used for “copy cataloging”.  </w:t>
      </w:r>
      <w:r w:rsidR="00D8110A">
        <w:t>When we state “copy cataloging” we mean the following actions:</w:t>
      </w:r>
    </w:p>
    <w:p w:rsidR="002B2682" w:rsidRDefault="002B2682" w:rsidP="00412F29">
      <w:pPr>
        <w:pStyle w:val="NoSpacing"/>
      </w:pPr>
    </w:p>
    <w:p w:rsidR="002B2682" w:rsidRDefault="002B2682" w:rsidP="002B2682">
      <w:pPr>
        <w:pStyle w:val="NoSpacing"/>
        <w:numPr>
          <w:ilvl w:val="0"/>
          <w:numId w:val="2"/>
        </w:numPr>
      </w:pPr>
      <w:r>
        <w:t>A</w:t>
      </w:r>
      <w:r w:rsidR="001E501F">
        <w:t xml:space="preserve"> </w:t>
      </w:r>
      <w:r>
        <w:t>bibliographic record is open in the m</w:t>
      </w:r>
      <w:r w:rsidR="001E501F">
        <w:t xml:space="preserve">etadata </w:t>
      </w:r>
      <w:r>
        <w:t>editor</w:t>
      </w:r>
    </w:p>
    <w:p w:rsidR="001E501F" w:rsidRDefault="002B2682" w:rsidP="002B2682">
      <w:pPr>
        <w:pStyle w:val="NoSpacing"/>
        <w:numPr>
          <w:ilvl w:val="0"/>
          <w:numId w:val="2"/>
        </w:numPr>
      </w:pPr>
      <w:r>
        <w:t>T</w:t>
      </w:r>
      <w:r w:rsidR="001E501F">
        <w:t xml:space="preserve">he ‘search </w:t>
      </w:r>
      <w:r>
        <w:t>external</w:t>
      </w:r>
      <w:r w:rsidR="001E501F">
        <w:t xml:space="preserve"> resource’ </w:t>
      </w:r>
      <w:r>
        <w:t>function</w:t>
      </w:r>
      <w:r w:rsidR="001E501F">
        <w:t xml:space="preserve"> is </w:t>
      </w:r>
      <w:r>
        <w:t>invoked</w:t>
      </w:r>
    </w:p>
    <w:p w:rsidR="001E501F" w:rsidRDefault="001E501F" w:rsidP="002B2682">
      <w:pPr>
        <w:pStyle w:val="NoSpacing"/>
        <w:numPr>
          <w:ilvl w:val="0"/>
          <w:numId w:val="2"/>
        </w:numPr>
      </w:pPr>
      <w:r>
        <w:t xml:space="preserve">A record is </w:t>
      </w:r>
      <w:r w:rsidR="002B2682">
        <w:t>found</w:t>
      </w:r>
    </w:p>
    <w:p w:rsidR="001E501F" w:rsidRDefault="001E501F" w:rsidP="002B2682">
      <w:pPr>
        <w:pStyle w:val="NoSpacing"/>
        <w:numPr>
          <w:ilvl w:val="0"/>
          <w:numId w:val="2"/>
        </w:numPr>
      </w:pPr>
      <w:r>
        <w:t>The ‘</w:t>
      </w:r>
      <w:r w:rsidR="002B2682">
        <w:t xml:space="preserve">copy </w:t>
      </w:r>
      <w:r>
        <w:t>and merge’</w:t>
      </w:r>
      <w:r w:rsidR="002B2682">
        <w:t xml:space="preserve"> action is done</w:t>
      </w:r>
    </w:p>
    <w:p w:rsidR="001E501F" w:rsidRDefault="001E501F" w:rsidP="00412F29">
      <w:pPr>
        <w:pStyle w:val="NoSpacing"/>
      </w:pPr>
    </w:p>
    <w:p w:rsidR="00D8110A" w:rsidRDefault="002B2682" w:rsidP="002B2682">
      <w:pPr>
        <w:pStyle w:val="NoSpacing"/>
      </w:pPr>
      <w:r>
        <w:t xml:space="preserve">Note that the syntax of this routine will differ for </w:t>
      </w:r>
      <w:r w:rsidR="00D8110A">
        <w:t>a merge which is performed as part of an import profile.</w:t>
      </w:r>
      <w:r w:rsidR="005B2500">
        <w:t xml:space="preserve"> The import profile and the copy cataloging differ on which record is considered the preferred record and therefore the merge routine syntax also differs.</w:t>
      </w:r>
    </w:p>
    <w:p w:rsidR="005B2500" w:rsidRDefault="005B2500" w:rsidP="002B2682">
      <w:pPr>
        <w:pStyle w:val="NoSpacing"/>
      </w:pPr>
    </w:p>
    <w:p w:rsidR="002B2682" w:rsidRPr="005B2500" w:rsidRDefault="005B2500" w:rsidP="00412F29">
      <w:pPr>
        <w:pStyle w:val="NoSpacing"/>
        <w:rPr>
          <w:b/>
          <w:bCs/>
        </w:rPr>
      </w:pPr>
      <w:r w:rsidRPr="005B2500">
        <w:rPr>
          <w:b/>
          <w:bCs/>
        </w:rPr>
        <w:t>The three main commands</w:t>
      </w:r>
    </w:p>
    <w:p w:rsidR="005B2500" w:rsidRDefault="005B2500" w:rsidP="00412F29">
      <w:pPr>
        <w:pStyle w:val="NoSpacing"/>
      </w:pPr>
    </w:p>
    <w:p w:rsidR="005B2500" w:rsidRDefault="005B2500" w:rsidP="00412F29">
      <w:pPr>
        <w:pStyle w:val="NoSpacing"/>
      </w:pPr>
      <w:r>
        <w:t>The three main commands in the merge routine are replace, remove and add.</w:t>
      </w:r>
    </w:p>
    <w:p w:rsidR="005B2500" w:rsidRDefault="005B2500" w:rsidP="00412F29">
      <w:pPr>
        <w:pStyle w:val="NoSpacing"/>
      </w:pPr>
    </w:p>
    <w:p w:rsidR="002B2682" w:rsidRDefault="005B2500" w:rsidP="005B2500">
      <w:pPr>
        <w:pStyle w:val="NoSpacing"/>
      </w:pPr>
      <w:r>
        <w:t xml:space="preserve">The </w:t>
      </w:r>
      <w:r w:rsidRPr="005B2500">
        <w:rPr>
          <w:b/>
          <w:bCs/>
        </w:rPr>
        <w:t>replace</w:t>
      </w:r>
      <w:r>
        <w:t xml:space="preserve"> </w:t>
      </w:r>
      <w:r w:rsidR="002B2682">
        <w:t>really means “keep”.  Or, in other words, “replace the value in the incoming record with the value I already have”.</w:t>
      </w:r>
      <w:r w:rsidR="00747181">
        <w:t xml:space="preserve">  This is the case however when no other parameters are used.</w:t>
      </w:r>
    </w:p>
    <w:p w:rsidR="002B2682" w:rsidRDefault="002B2682" w:rsidP="002B2682">
      <w:pPr>
        <w:pStyle w:val="NoSpacing"/>
      </w:pPr>
    </w:p>
    <w:p w:rsidR="005B2500" w:rsidRDefault="005B2500" w:rsidP="005C301D">
      <w:pPr>
        <w:pStyle w:val="NoSpacing"/>
      </w:pPr>
      <w:r>
        <w:t xml:space="preserve">The </w:t>
      </w:r>
      <w:r w:rsidRPr="005B2500">
        <w:rPr>
          <w:b/>
          <w:bCs/>
        </w:rPr>
        <w:t>remove</w:t>
      </w:r>
      <w:r>
        <w:t xml:space="preserve"> command removes fields from the </w:t>
      </w:r>
      <w:r w:rsidR="005C301D">
        <w:t>incoming</w:t>
      </w:r>
      <w:r>
        <w:t xml:space="preserve"> library record</w:t>
      </w:r>
    </w:p>
    <w:p w:rsidR="005B2500" w:rsidRDefault="005B2500" w:rsidP="002B2682">
      <w:pPr>
        <w:pStyle w:val="NoSpacing"/>
      </w:pPr>
    </w:p>
    <w:p w:rsidR="005A37D2" w:rsidRPr="005B2500" w:rsidRDefault="005A37D2" w:rsidP="005A37D2">
      <w:pPr>
        <w:pStyle w:val="NoSpacing"/>
      </w:pPr>
      <w:r>
        <w:t xml:space="preserve">The </w:t>
      </w:r>
      <w:r w:rsidRPr="005B2500">
        <w:rPr>
          <w:b/>
          <w:bCs/>
        </w:rPr>
        <w:t>add</w:t>
      </w:r>
      <w:r>
        <w:t xml:space="preserve"> command will add the field you already have to the final results together with what came from the incoming record.</w:t>
      </w:r>
      <w:r w:rsidR="005B2500">
        <w:t xml:space="preserve">  </w:t>
      </w:r>
      <w:proofErr w:type="gramStart"/>
      <w:r w:rsidR="005B2500">
        <w:t xml:space="preserve">The </w:t>
      </w:r>
      <w:r w:rsidR="005B2500">
        <w:rPr>
          <w:b/>
          <w:bCs/>
        </w:rPr>
        <w:t>add</w:t>
      </w:r>
      <w:proofErr w:type="gramEnd"/>
      <w:r w:rsidR="005B2500">
        <w:t xml:space="preserve"> cannot be done on a field which was already removed.</w:t>
      </w:r>
    </w:p>
    <w:p w:rsidR="006A4F2C" w:rsidRDefault="006A4F2C" w:rsidP="006A4F2C">
      <w:pPr>
        <w:pStyle w:val="NoSpacing"/>
      </w:pPr>
    </w:p>
    <w:p w:rsidR="005B2500" w:rsidRDefault="005B2500" w:rsidP="005B2500">
      <w:pPr>
        <w:pStyle w:val="NoSpacing"/>
      </w:pPr>
      <w:r>
        <w:t>Summary:</w:t>
      </w:r>
    </w:p>
    <w:p w:rsidR="005A37D2" w:rsidRDefault="005B2500" w:rsidP="005C301D">
      <w:pPr>
        <w:pStyle w:val="NoSpacing"/>
        <w:numPr>
          <w:ilvl w:val="0"/>
          <w:numId w:val="4"/>
        </w:numPr>
      </w:pPr>
      <w:r>
        <w:t>To remove a field</w:t>
      </w:r>
      <w:r w:rsidR="005C301D">
        <w:t xml:space="preserve"> you have </w:t>
      </w:r>
      <w:r>
        <w:t xml:space="preserve">in the existing library record and replace it with the field in the incoming record use </w:t>
      </w:r>
      <w:r w:rsidR="005C301D">
        <w:t>no commands</w:t>
      </w:r>
    </w:p>
    <w:p w:rsidR="005B2500" w:rsidRPr="005B2500" w:rsidRDefault="005B2500" w:rsidP="005C301D">
      <w:pPr>
        <w:pStyle w:val="NoSpacing"/>
        <w:numPr>
          <w:ilvl w:val="0"/>
          <w:numId w:val="4"/>
        </w:numPr>
      </w:pPr>
      <w:r>
        <w:t xml:space="preserve">To keep the field you have in the existing library record and also get the field from the incoming record use </w:t>
      </w:r>
      <w:r w:rsidRPr="005B2500">
        <w:rPr>
          <w:b/>
          <w:bCs/>
        </w:rPr>
        <w:t>add</w:t>
      </w:r>
    </w:p>
    <w:p w:rsidR="005B2500" w:rsidRDefault="005C301D" w:rsidP="005C301D">
      <w:pPr>
        <w:pStyle w:val="NoSpacing"/>
        <w:numPr>
          <w:ilvl w:val="0"/>
          <w:numId w:val="4"/>
        </w:numPr>
      </w:pPr>
      <w:r>
        <w:t xml:space="preserve">To keep the field you have in the existing library record and not also get the field from the incoming record use </w:t>
      </w:r>
      <w:r w:rsidRPr="005C301D">
        <w:rPr>
          <w:b/>
          <w:bCs/>
        </w:rPr>
        <w:t>remove</w:t>
      </w:r>
    </w:p>
    <w:p w:rsidR="005B2500" w:rsidRDefault="005B2500" w:rsidP="005B2500">
      <w:pPr>
        <w:pStyle w:val="NoSpacing"/>
      </w:pPr>
    </w:p>
    <w:p w:rsidR="005B2500" w:rsidRDefault="005B2500" w:rsidP="005B2500">
      <w:pPr>
        <w:pStyle w:val="NoSpacing"/>
      </w:pPr>
    </w:p>
    <w:p w:rsidR="002B2682" w:rsidRDefault="002B2682" w:rsidP="00412F29">
      <w:pPr>
        <w:pStyle w:val="NoSpacing"/>
      </w:pPr>
    </w:p>
    <w:p w:rsidR="002B2682" w:rsidRDefault="002B2682" w:rsidP="00412F29">
      <w:pPr>
        <w:pStyle w:val="NoSpacing"/>
      </w:pPr>
    </w:p>
    <w:p w:rsidR="00412F29" w:rsidRDefault="002B2682" w:rsidP="002B2682">
      <w:pPr>
        <w:pStyle w:val="NoSpacing"/>
        <w:rPr>
          <w:b/>
          <w:bCs/>
        </w:rPr>
      </w:pPr>
      <w:bookmarkStart w:id="3" w:name="sampledata"/>
      <w:bookmarkEnd w:id="3"/>
      <w:r w:rsidRPr="002B2682">
        <w:rPr>
          <w:b/>
          <w:bCs/>
        </w:rPr>
        <w:lastRenderedPageBreak/>
        <w:t xml:space="preserve">The sample </w:t>
      </w:r>
      <w:r w:rsidR="00412F29" w:rsidRPr="002B2682">
        <w:rPr>
          <w:b/>
          <w:bCs/>
        </w:rPr>
        <w:t>data</w:t>
      </w:r>
    </w:p>
    <w:p w:rsidR="0000238D" w:rsidRPr="002B2682" w:rsidRDefault="0000238D" w:rsidP="002B2682">
      <w:pPr>
        <w:pStyle w:val="NoSpacing"/>
        <w:rPr>
          <w:b/>
          <w:bCs/>
        </w:rPr>
      </w:pPr>
    </w:p>
    <w:p w:rsidR="00412F29" w:rsidRDefault="00412F29" w:rsidP="00412F29">
      <w:pPr>
        <w:pStyle w:val="NoSpacing"/>
        <w:numPr>
          <w:ilvl w:val="0"/>
          <w:numId w:val="1"/>
        </w:numPr>
      </w:pPr>
      <w:r>
        <w:t xml:space="preserve">In the library catalog we have existing record “Lean In” by “Sandberg, Sheryl”, OCLC number </w:t>
      </w:r>
      <w:r w:rsidRPr="00412F29">
        <w:t>813526963</w:t>
      </w:r>
      <w:r>
        <w:t>.</w:t>
      </w:r>
    </w:p>
    <w:p w:rsidR="00412F29" w:rsidRDefault="00412F29" w:rsidP="00412F29">
      <w:pPr>
        <w:pStyle w:val="NoSpacing"/>
        <w:numPr>
          <w:ilvl w:val="0"/>
          <w:numId w:val="1"/>
        </w:numPr>
      </w:pPr>
      <w:r>
        <w:t>This record is also present at Library of Congress (</w:t>
      </w:r>
      <w:r w:rsidRPr="00412F29">
        <w:t>Record Source: DLC</w:t>
      </w:r>
      <w:r>
        <w:t>) and retrievable in Alma via “Search External resources” for “World Cat”.</w:t>
      </w:r>
    </w:p>
    <w:p w:rsidR="001E501F" w:rsidRDefault="001E501F" w:rsidP="001E501F">
      <w:pPr>
        <w:pStyle w:val="NoSpacing"/>
      </w:pPr>
    </w:p>
    <w:p w:rsidR="001E501F" w:rsidRPr="0000238D" w:rsidRDefault="001E501F" w:rsidP="001E501F">
      <w:pPr>
        <w:pStyle w:val="NoSpacing"/>
      </w:pPr>
      <w:r w:rsidRPr="0000238D">
        <w:t>The record in the library has:</w:t>
      </w:r>
    </w:p>
    <w:p w:rsidR="0000238D" w:rsidRDefault="0000238D" w:rsidP="001E501F">
      <w:pPr>
        <w:pStyle w:val="NoSpacing"/>
      </w:pPr>
    </w:p>
    <w:p w:rsidR="0000238D" w:rsidRPr="0000238D" w:rsidRDefault="0000238D" w:rsidP="0000238D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082   $$a 658.4</w:t>
      </w:r>
    </w:p>
    <w:p w:rsidR="0000238D" w:rsidRDefault="0000238D" w:rsidP="0000238D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  <w:r w:rsidRPr="0000238D">
        <w:rPr>
          <w:rFonts w:ascii="Courier New" w:hAnsi="Courier New" w:cs="Courier New"/>
          <w:sz w:val="20"/>
          <w:szCs w:val="20"/>
        </w:rPr>
        <w:t>948   $$a Reviewed by consortial cataloger</w:t>
      </w:r>
    </w:p>
    <w:p w:rsidR="0000238D" w:rsidRDefault="0000238D" w:rsidP="0000238D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994   $$a 248-365-613</w:t>
      </w:r>
    </w:p>
    <w:p w:rsidR="001E501F" w:rsidRDefault="001E501F" w:rsidP="001E501F">
      <w:pPr>
        <w:pStyle w:val="NoSpacing"/>
      </w:pPr>
    </w:p>
    <w:p w:rsidR="001E501F" w:rsidRPr="0000238D" w:rsidRDefault="001E501F" w:rsidP="001E501F">
      <w:pPr>
        <w:pStyle w:val="NoSpacing"/>
      </w:pPr>
      <w:r w:rsidRPr="0000238D">
        <w:t>The record in WorldCat has:</w:t>
      </w:r>
    </w:p>
    <w:p w:rsidR="001E501F" w:rsidRDefault="001E501F" w:rsidP="001E501F">
      <w:pPr>
        <w:pStyle w:val="NoSpacing"/>
      </w:pPr>
    </w:p>
    <w:p w:rsidR="001E501F" w:rsidRPr="001E501F" w:rsidRDefault="001E501F" w:rsidP="0000238D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  <w:r w:rsidRPr="001E501F">
        <w:rPr>
          <w:rFonts w:ascii="Courier New" w:hAnsi="Courier New" w:cs="Courier New"/>
          <w:sz w:val="20"/>
          <w:szCs w:val="20"/>
        </w:rPr>
        <w:t>035   $$a (OCoLC</w:t>
      </w:r>
      <w:proofErr w:type="gramStart"/>
      <w:r w:rsidRPr="001E501F">
        <w:rPr>
          <w:rFonts w:ascii="Courier New" w:hAnsi="Courier New" w:cs="Courier New"/>
          <w:sz w:val="20"/>
          <w:szCs w:val="20"/>
        </w:rPr>
        <w:t>)813526963</w:t>
      </w:r>
      <w:proofErr w:type="gramEnd"/>
      <w:r w:rsidRPr="001E501F">
        <w:rPr>
          <w:rFonts w:ascii="Courier New" w:hAnsi="Courier New" w:cs="Courier New"/>
          <w:sz w:val="20"/>
          <w:szCs w:val="20"/>
        </w:rPr>
        <w:t xml:space="preserve"> $$z (OCoLC)812406870 $$z (OCoLC)838389356 $$z (OCoLC)880953998</w:t>
      </w:r>
    </w:p>
    <w:p w:rsidR="001E501F" w:rsidRPr="001E501F" w:rsidRDefault="001E501F" w:rsidP="0000238D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  <w:r w:rsidRPr="001E501F">
        <w:rPr>
          <w:rFonts w:ascii="Courier New" w:hAnsi="Courier New" w:cs="Courier New"/>
          <w:sz w:val="20"/>
          <w:szCs w:val="20"/>
        </w:rPr>
        <w:t xml:space="preserve">035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E501F">
        <w:rPr>
          <w:rFonts w:ascii="Courier New" w:hAnsi="Courier New" w:cs="Courier New"/>
          <w:sz w:val="20"/>
          <w:szCs w:val="20"/>
        </w:rPr>
        <w:t>$$a (OCoLC</w:t>
      </w:r>
      <w:proofErr w:type="gramStart"/>
      <w:r w:rsidRPr="001E501F">
        <w:rPr>
          <w:rFonts w:ascii="Courier New" w:hAnsi="Courier New" w:cs="Courier New"/>
          <w:sz w:val="20"/>
          <w:szCs w:val="20"/>
        </w:rPr>
        <w:t>)ocn81352696305000</w:t>
      </w:r>
      <w:proofErr w:type="gramEnd"/>
      <w:r w:rsidRPr="001E501F">
        <w:rPr>
          <w:rFonts w:ascii="Courier New" w:hAnsi="Courier New" w:cs="Courier New"/>
          <w:sz w:val="20"/>
          <w:szCs w:val="20"/>
        </w:rPr>
        <w:tab/>
        <w:t>$$a HD6054.3 $$b .S265 2013</w:t>
      </w:r>
    </w:p>
    <w:p w:rsidR="0000238D" w:rsidRDefault="0000238D" w:rsidP="0000238D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  <w:r w:rsidRPr="0000238D">
        <w:rPr>
          <w:rFonts w:ascii="Courier New" w:hAnsi="Courier New" w:cs="Courier New"/>
          <w:sz w:val="20"/>
          <w:szCs w:val="20"/>
        </w:rPr>
        <w:t>05000</w:t>
      </w:r>
      <w:r w:rsidRPr="0000238D">
        <w:rPr>
          <w:rFonts w:ascii="Courier New" w:hAnsi="Courier New" w:cs="Courier New"/>
          <w:sz w:val="20"/>
          <w:szCs w:val="20"/>
        </w:rPr>
        <w:tab/>
        <w:t>$$a HD6054.3 $$b .S265 2013</w:t>
      </w:r>
    </w:p>
    <w:p w:rsidR="001E501F" w:rsidRPr="001E501F" w:rsidRDefault="001E501F" w:rsidP="0000238D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  <w:r w:rsidRPr="0000238D">
        <w:rPr>
          <w:rFonts w:ascii="Courier New" w:hAnsi="Courier New" w:cs="Courier New"/>
          <w:sz w:val="20"/>
          <w:szCs w:val="20"/>
          <w:highlight w:val="yellow"/>
        </w:rPr>
        <w:t>08200</w:t>
      </w:r>
      <w:r w:rsidRPr="001E501F">
        <w:rPr>
          <w:rFonts w:ascii="Courier New" w:hAnsi="Courier New" w:cs="Courier New"/>
          <w:sz w:val="20"/>
          <w:szCs w:val="20"/>
        </w:rPr>
        <w:tab/>
        <w:t>$$a 658.4/092082 $$2 23</w:t>
      </w:r>
    </w:p>
    <w:p w:rsidR="001E501F" w:rsidRPr="001E501F" w:rsidRDefault="001E501F" w:rsidP="0000238D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  <w:r w:rsidRPr="0000238D">
        <w:rPr>
          <w:rFonts w:ascii="Courier New" w:hAnsi="Courier New" w:cs="Courier New"/>
          <w:sz w:val="20"/>
          <w:szCs w:val="20"/>
          <w:highlight w:val="yellow"/>
        </w:rPr>
        <w:t>994</w:t>
      </w:r>
      <w:r w:rsidRPr="001E501F">
        <w:rPr>
          <w:rFonts w:ascii="Courier New" w:hAnsi="Courier New" w:cs="Courier New"/>
          <w:sz w:val="20"/>
          <w:szCs w:val="20"/>
        </w:rPr>
        <w:t xml:space="preserve">   $$a Z0 $$b WAU</w:t>
      </w:r>
    </w:p>
    <w:p w:rsidR="001E501F" w:rsidRPr="001E501F" w:rsidRDefault="001E501F" w:rsidP="0000238D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  <w:r w:rsidRPr="001E501F">
        <w:rPr>
          <w:rFonts w:ascii="Courier New" w:hAnsi="Courier New" w:cs="Courier New"/>
          <w:sz w:val="20"/>
          <w:szCs w:val="20"/>
        </w:rPr>
        <w:t xml:space="preserve">938   $$a </w:t>
      </w:r>
      <w:proofErr w:type="spellStart"/>
      <w:r w:rsidRPr="001E501F">
        <w:rPr>
          <w:rFonts w:ascii="Courier New" w:hAnsi="Courier New" w:cs="Courier New"/>
          <w:sz w:val="20"/>
          <w:szCs w:val="20"/>
        </w:rPr>
        <w:t>Brodart</w:t>
      </w:r>
      <w:proofErr w:type="spellEnd"/>
      <w:r w:rsidRPr="001E501F">
        <w:rPr>
          <w:rFonts w:ascii="Courier New" w:hAnsi="Courier New" w:cs="Courier New"/>
          <w:sz w:val="20"/>
          <w:szCs w:val="20"/>
        </w:rPr>
        <w:t xml:space="preserve"> $$b BROD $$n 103471650</w:t>
      </w:r>
    </w:p>
    <w:p w:rsidR="001E501F" w:rsidRPr="001E501F" w:rsidRDefault="001E501F" w:rsidP="0000238D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  <w:r w:rsidRPr="001E501F">
        <w:rPr>
          <w:rFonts w:ascii="Courier New" w:hAnsi="Courier New" w:cs="Courier New"/>
          <w:sz w:val="20"/>
          <w:szCs w:val="20"/>
        </w:rPr>
        <w:t>938   $$a Baker and Taylor $$b BTCP $$n BK0012284646</w:t>
      </w:r>
    </w:p>
    <w:p w:rsidR="001E501F" w:rsidRPr="001E501F" w:rsidRDefault="001E501F" w:rsidP="0000238D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  <w:r w:rsidRPr="001E501F">
        <w:rPr>
          <w:rFonts w:ascii="Courier New" w:hAnsi="Courier New" w:cs="Courier New"/>
          <w:sz w:val="20"/>
          <w:szCs w:val="20"/>
        </w:rPr>
        <w:t>938   $$a Coutts Information Services $$b COUT $$n 24032307</w:t>
      </w:r>
    </w:p>
    <w:p w:rsidR="001E501F" w:rsidRPr="001E501F" w:rsidRDefault="001E501F" w:rsidP="0000238D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  <w:r w:rsidRPr="001E501F">
        <w:rPr>
          <w:rFonts w:ascii="Courier New" w:hAnsi="Courier New" w:cs="Courier New"/>
          <w:sz w:val="20"/>
          <w:szCs w:val="20"/>
        </w:rPr>
        <w:t>938   $$a YBP Library Services $$b YANK $$n 9801050</w:t>
      </w:r>
    </w:p>
    <w:p w:rsidR="001E501F" w:rsidRPr="001E501F" w:rsidRDefault="001E501F" w:rsidP="0000238D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  <w:r w:rsidRPr="0000238D">
        <w:rPr>
          <w:rFonts w:ascii="Courier New" w:hAnsi="Courier New" w:cs="Courier New"/>
          <w:sz w:val="20"/>
          <w:szCs w:val="20"/>
          <w:highlight w:val="yellow"/>
        </w:rPr>
        <w:t>948</w:t>
      </w:r>
      <w:r w:rsidRPr="001E501F">
        <w:rPr>
          <w:rFonts w:ascii="Courier New" w:hAnsi="Courier New" w:cs="Courier New"/>
          <w:sz w:val="20"/>
          <w:szCs w:val="20"/>
        </w:rPr>
        <w:t xml:space="preserve">   $$h HELD BY WAU - 3077 OTHER HOLDINGS</w:t>
      </w:r>
    </w:p>
    <w:p w:rsidR="001E501F" w:rsidRDefault="001E501F" w:rsidP="001E501F">
      <w:pPr>
        <w:pStyle w:val="NoSpacing"/>
      </w:pPr>
    </w:p>
    <w:p w:rsidR="00412F29" w:rsidRDefault="00412F29" w:rsidP="00412F29">
      <w:pPr>
        <w:pStyle w:val="NoSpacing"/>
      </w:pPr>
    </w:p>
    <w:p w:rsidR="00412F29" w:rsidRPr="0000238D" w:rsidRDefault="00747181" w:rsidP="00412F29">
      <w:pPr>
        <w:pStyle w:val="NoSpacing"/>
        <w:rPr>
          <w:b/>
          <w:bCs/>
        </w:rPr>
      </w:pPr>
      <w:bookmarkStart w:id="4" w:name="wanttohappenintherule"/>
      <w:bookmarkEnd w:id="4"/>
      <w:r>
        <w:rPr>
          <w:b/>
          <w:bCs/>
        </w:rPr>
        <w:t>What we want to happen in the rule</w:t>
      </w:r>
    </w:p>
    <w:p w:rsidR="0000238D" w:rsidRDefault="0000238D" w:rsidP="00412F29">
      <w:pPr>
        <w:pStyle w:val="NoSpacing"/>
      </w:pPr>
    </w:p>
    <w:p w:rsidR="0000238D" w:rsidRDefault="0000238D" w:rsidP="00412F29">
      <w:pPr>
        <w:pStyle w:val="NoSpacing"/>
      </w:pPr>
      <w:r>
        <w:t xml:space="preserve">The library wants </w:t>
      </w:r>
    </w:p>
    <w:p w:rsidR="00B3156E" w:rsidRDefault="0000238D" w:rsidP="00B3156E">
      <w:pPr>
        <w:pStyle w:val="NoSpacing"/>
        <w:numPr>
          <w:ilvl w:val="0"/>
          <w:numId w:val="3"/>
        </w:numPr>
      </w:pPr>
      <w:r>
        <w:t>The 0</w:t>
      </w:r>
      <w:r w:rsidR="00B3156E">
        <w:t>82</w:t>
      </w:r>
      <w:r>
        <w:t xml:space="preserve"> they already have to be replaced by the 0</w:t>
      </w:r>
      <w:r w:rsidR="00B3156E">
        <w:t>82</w:t>
      </w:r>
      <w:r>
        <w:t xml:space="preserve"> of the incoming records.  They do not want both the 0</w:t>
      </w:r>
      <w:r w:rsidR="00B3156E">
        <w:t>82</w:t>
      </w:r>
      <w:r>
        <w:t xml:space="preserve"> they already have plus the one from the incoming record.  They want only the one from the incoming record.</w:t>
      </w:r>
    </w:p>
    <w:p w:rsidR="0000238D" w:rsidRDefault="0000238D" w:rsidP="0000238D">
      <w:pPr>
        <w:pStyle w:val="NoSpacing"/>
        <w:numPr>
          <w:ilvl w:val="0"/>
          <w:numId w:val="3"/>
        </w:numPr>
      </w:pPr>
      <w:r>
        <w:t>The 948 they already have to remain and also get the new 948 from the incoming record.</w:t>
      </w:r>
    </w:p>
    <w:p w:rsidR="0000238D" w:rsidRDefault="0000238D" w:rsidP="0000238D">
      <w:pPr>
        <w:pStyle w:val="NoSpacing"/>
        <w:numPr>
          <w:ilvl w:val="0"/>
          <w:numId w:val="3"/>
        </w:numPr>
      </w:pPr>
      <w:r>
        <w:t>The 994 they already have to remain and not also take the 994 from the incoming</w:t>
      </w:r>
    </w:p>
    <w:p w:rsidR="0000238D" w:rsidRDefault="0000238D" w:rsidP="0000238D">
      <w:pPr>
        <w:pStyle w:val="NoSpacing"/>
      </w:pPr>
    </w:p>
    <w:p w:rsidR="0000238D" w:rsidRDefault="0000238D" w:rsidP="0000238D">
      <w:pPr>
        <w:pStyle w:val="NoSpacing"/>
      </w:pPr>
      <w:r>
        <w:t>So:</w:t>
      </w:r>
    </w:p>
    <w:p w:rsidR="0000238D" w:rsidRDefault="0000238D" w:rsidP="0000238D">
      <w:pPr>
        <w:pStyle w:val="NoSpacing"/>
      </w:pPr>
      <w:r>
        <w:t>Case 1 is “replace what I have with the incoming”</w:t>
      </w:r>
      <w:r w:rsidR="006A4F2C">
        <w:t>.</w:t>
      </w:r>
    </w:p>
    <w:p w:rsidR="006A4F2C" w:rsidRDefault="006A4F2C" w:rsidP="005A37D2">
      <w:pPr>
        <w:pStyle w:val="NoSpacing"/>
      </w:pPr>
      <w:r>
        <w:t xml:space="preserve">This will use </w:t>
      </w:r>
      <w:r w:rsidRPr="006A4F2C">
        <w:rPr>
          <w:rFonts w:ascii="Courier New" w:hAnsi="Courier New" w:cs="Courier New"/>
          <w:b/>
          <w:bCs/>
        </w:rPr>
        <w:t>replace</w:t>
      </w:r>
    </w:p>
    <w:p w:rsidR="005A37D2" w:rsidRDefault="005A37D2" w:rsidP="0000238D">
      <w:pPr>
        <w:pStyle w:val="NoSpacing"/>
      </w:pPr>
    </w:p>
    <w:p w:rsidR="0000238D" w:rsidRDefault="0000238D" w:rsidP="0000238D">
      <w:pPr>
        <w:pStyle w:val="NoSpacing"/>
      </w:pPr>
      <w:r>
        <w:t>Case 2 is “keep what I have and also take the incoming”.</w:t>
      </w:r>
    </w:p>
    <w:p w:rsidR="005A37D2" w:rsidRDefault="005A37D2" w:rsidP="005A37D2">
      <w:pPr>
        <w:pStyle w:val="NoSpacing"/>
      </w:pPr>
      <w:r>
        <w:t xml:space="preserve">This will use </w:t>
      </w:r>
      <w:r w:rsidRPr="006A4F2C">
        <w:rPr>
          <w:rFonts w:ascii="Courier New" w:hAnsi="Courier New" w:cs="Courier New"/>
          <w:b/>
          <w:bCs/>
        </w:rPr>
        <w:t>replace</w:t>
      </w:r>
      <w:r w:rsidRPr="005A37D2">
        <w:t xml:space="preserve"> </w:t>
      </w:r>
      <w:r>
        <w:t xml:space="preserve">and </w:t>
      </w:r>
      <w:r>
        <w:rPr>
          <w:rFonts w:ascii="Courier New" w:hAnsi="Courier New" w:cs="Courier New"/>
          <w:b/>
          <w:bCs/>
        </w:rPr>
        <w:t>add</w:t>
      </w:r>
    </w:p>
    <w:p w:rsidR="005A37D2" w:rsidRDefault="005A37D2" w:rsidP="0000238D">
      <w:pPr>
        <w:pStyle w:val="NoSpacing"/>
      </w:pPr>
    </w:p>
    <w:p w:rsidR="0000238D" w:rsidRDefault="0000238D" w:rsidP="0000238D">
      <w:pPr>
        <w:pStyle w:val="NoSpacing"/>
      </w:pPr>
      <w:r>
        <w:t>Case 3 is “keep what I have and do not take the incoming”.</w:t>
      </w:r>
    </w:p>
    <w:p w:rsidR="0000238D" w:rsidRDefault="0000238D" w:rsidP="0000238D">
      <w:pPr>
        <w:pStyle w:val="NoSpacing"/>
      </w:pPr>
    </w:p>
    <w:p w:rsidR="0000238D" w:rsidRDefault="0000238D" w:rsidP="0000238D">
      <w:pPr>
        <w:pStyle w:val="NoSpacing"/>
      </w:pPr>
    </w:p>
    <w:p w:rsidR="00412F29" w:rsidRPr="0000238D" w:rsidRDefault="0000238D" w:rsidP="00412F29">
      <w:pPr>
        <w:pStyle w:val="NoSpacing"/>
        <w:rPr>
          <w:b/>
          <w:bCs/>
        </w:rPr>
      </w:pPr>
      <w:bookmarkStart w:id="5" w:name="sampleruleexplained"/>
      <w:bookmarkEnd w:id="5"/>
      <w:r w:rsidRPr="0000238D">
        <w:rPr>
          <w:b/>
          <w:bCs/>
        </w:rPr>
        <w:t xml:space="preserve">The </w:t>
      </w:r>
      <w:r w:rsidR="005A37D2">
        <w:rPr>
          <w:b/>
          <w:bCs/>
        </w:rPr>
        <w:t xml:space="preserve">sample </w:t>
      </w:r>
      <w:r w:rsidRPr="0000238D">
        <w:rPr>
          <w:b/>
          <w:bCs/>
        </w:rPr>
        <w:t>rule</w:t>
      </w:r>
      <w:r w:rsidR="005A37D2">
        <w:rPr>
          <w:b/>
          <w:bCs/>
        </w:rPr>
        <w:t xml:space="preserve"> explained</w:t>
      </w:r>
    </w:p>
    <w:p w:rsidR="0000238D" w:rsidRDefault="0000238D" w:rsidP="00412F29">
      <w:pPr>
        <w:pStyle w:val="NoSpacing"/>
      </w:pPr>
    </w:p>
    <w:p w:rsidR="006A4F2C" w:rsidRPr="005A37D2" w:rsidRDefault="006A4F2C" w:rsidP="00412F29">
      <w:pPr>
        <w:pStyle w:val="NoSpacing"/>
        <w:rPr>
          <w:u w:val="single"/>
        </w:rPr>
      </w:pPr>
      <w:r w:rsidRPr="005A37D2">
        <w:rPr>
          <w:u w:val="single"/>
        </w:rPr>
        <w:t>Regarding case 1:</w:t>
      </w:r>
    </w:p>
    <w:p w:rsidR="006A4F2C" w:rsidRDefault="006A4F2C" w:rsidP="00A90FE8">
      <w:pPr>
        <w:pStyle w:val="NoSpacing"/>
      </w:pPr>
      <w:r>
        <w:t xml:space="preserve">We replace the 082 in the library record with the </w:t>
      </w:r>
      <w:r w:rsidR="00A90FE8">
        <w:t>082</w:t>
      </w:r>
      <w:r>
        <w:t xml:space="preserve"> from WorldCat</w:t>
      </w:r>
    </w:p>
    <w:p w:rsidR="006A4F2C" w:rsidRDefault="006A4F2C" w:rsidP="00412F29">
      <w:pPr>
        <w:pStyle w:val="NoSpacing"/>
      </w:pPr>
      <w:r>
        <w:t xml:space="preserve">We state:  </w:t>
      </w:r>
    </w:p>
    <w:p w:rsidR="006A4F2C" w:rsidRPr="005A37D2" w:rsidRDefault="006A4F2C" w:rsidP="006A4F2C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5C301D">
        <w:rPr>
          <w:rFonts w:ascii="Courier New" w:hAnsi="Courier New" w:cs="Courier New"/>
          <w:highlight w:val="yellow"/>
        </w:rPr>
        <w:t>remove</w:t>
      </w:r>
      <w:proofErr w:type="gramEnd"/>
      <w:r w:rsidRPr="005A37D2">
        <w:rPr>
          <w:rFonts w:ascii="Courier New" w:hAnsi="Courier New" w:cs="Courier New"/>
        </w:rPr>
        <w:t xml:space="preserve"> MARC."0"XX </w:t>
      </w:r>
      <w:r w:rsidRPr="005A37D2">
        <w:rPr>
          <w:rFonts w:ascii="Courier New" w:hAnsi="Courier New" w:cs="Courier New"/>
          <w:highlight w:val="yellow"/>
        </w:rPr>
        <w:t>excluding</w:t>
      </w:r>
      <w:r w:rsidRPr="005A37D2">
        <w:rPr>
          <w:rFonts w:ascii="Courier New" w:hAnsi="Courier New" w:cs="Courier New"/>
        </w:rPr>
        <w:t xml:space="preserve"> "001,035,</w:t>
      </w:r>
      <w:r w:rsidRPr="005A37D2">
        <w:rPr>
          <w:rFonts w:ascii="Courier New" w:hAnsi="Courier New" w:cs="Courier New"/>
          <w:highlight w:val="yellow"/>
        </w:rPr>
        <w:t>082</w:t>
      </w:r>
      <w:r w:rsidRPr="005A37D2">
        <w:rPr>
          <w:rFonts w:ascii="Courier New" w:hAnsi="Courier New" w:cs="Courier New"/>
        </w:rPr>
        <w:t>"</w:t>
      </w:r>
    </w:p>
    <w:p w:rsidR="006A4F2C" w:rsidRDefault="006A4F2C" w:rsidP="00412F29">
      <w:pPr>
        <w:pStyle w:val="NoSpacing"/>
      </w:pPr>
      <w:r>
        <w:t>Then later we state</w:t>
      </w:r>
    </w:p>
    <w:p w:rsidR="006A4F2C" w:rsidRPr="005A37D2" w:rsidRDefault="006A4F2C" w:rsidP="006A4F2C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5C301D">
        <w:rPr>
          <w:rFonts w:ascii="Courier New" w:hAnsi="Courier New" w:cs="Courier New"/>
          <w:highlight w:val="yellow"/>
        </w:rPr>
        <w:t>replace</w:t>
      </w:r>
      <w:proofErr w:type="gramEnd"/>
      <w:r w:rsidRPr="005A37D2">
        <w:rPr>
          <w:rFonts w:ascii="Courier New" w:hAnsi="Courier New" w:cs="Courier New"/>
        </w:rPr>
        <w:t xml:space="preserve"> MARC.XXX </w:t>
      </w:r>
      <w:r w:rsidRPr="005C301D">
        <w:rPr>
          <w:rFonts w:ascii="Courier New" w:hAnsi="Courier New" w:cs="Courier New"/>
          <w:highlight w:val="yellow"/>
        </w:rPr>
        <w:t>excluding</w:t>
      </w:r>
      <w:r w:rsidRPr="005A37D2">
        <w:rPr>
          <w:rFonts w:ascii="Courier New" w:hAnsi="Courier New" w:cs="Courier New"/>
        </w:rPr>
        <w:t xml:space="preserve"> "001,035,</w:t>
      </w:r>
      <w:r w:rsidRPr="005C301D">
        <w:rPr>
          <w:rFonts w:ascii="Courier New" w:hAnsi="Courier New" w:cs="Courier New"/>
          <w:highlight w:val="yellow"/>
        </w:rPr>
        <w:t>082</w:t>
      </w:r>
      <w:r w:rsidRPr="005A37D2">
        <w:rPr>
          <w:rFonts w:ascii="Courier New" w:hAnsi="Courier New" w:cs="Courier New"/>
        </w:rPr>
        <w:t>,59X,9XX"</w:t>
      </w:r>
    </w:p>
    <w:p w:rsidR="006A4F2C" w:rsidRDefault="005A37D2" w:rsidP="005C301D">
      <w:pPr>
        <w:pStyle w:val="NoSpacing"/>
      </w:pPr>
      <w:r>
        <w:t xml:space="preserve">So we are </w:t>
      </w:r>
      <w:r w:rsidR="005C301D">
        <w:t>doing nothing (it is excluded both times)</w:t>
      </w:r>
    </w:p>
    <w:p w:rsidR="005A37D2" w:rsidRDefault="005A37D2" w:rsidP="00412F29">
      <w:pPr>
        <w:pStyle w:val="NoSpacing"/>
      </w:pPr>
    </w:p>
    <w:p w:rsidR="005A37D2" w:rsidRDefault="005A37D2" w:rsidP="00412F29">
      <w:pPr>
        <w:pStyle w:val="NoSpacing"/>
      </w:pPr>
    </w:p>
    <w:p w:rsidR="006A4F2C" w:rsidRPr="005A37D2" w:rsidRDefault="006A4F2C" w:rsidP="00412F29">
      <w:pPr>
        <w:pStyle w:val="NoSpacing"/>
        <w:rPr>
          <w:u w:val="single"/>
        </w:rPr>
      </w:pPr>
      <w:r w:rsidRPr="005A37D2">
        <w:rPr>
          <w:u w:val="single"/>
        </w:rPr>
        <w:t xml:space="preserve">Regarding </w:t>
      </w:r>
      <w:proofErr w:type="gramStart"/>
      <w:r w:rsidRPr="005A37D2">
        <w:rPr>
          <w:u w:val="single"/>
        </w:rPr>
        <w:t>case  2</w:t>
      </w:r>
      <w:proofErr w:type="gramEnd"/>
      <w:r w:rsidRPr="005A37D2">
        <w:rPr>
          <w:u w:val="single"/>
        </w:rPr>
        <w:t>:</w:t>
      </w:r>
    </w:p>
    <w:p w:rsidR="006A4F2C" w:rsidRDefault="006A4F2C" w:rsidP="00E26CA3">
      <w:pPr>
        <w:pStyle w:val="NoSpacing"/>
      </w:pPr>
      <w:r>
        <w:t>We keep the 948 in the library record and also g</w:t>
      </w:r>
      <w:r w:rsidR="00E26CA3">
        <w:t>e</w:t>
      </w:r>
      <w:r>
        <w:t>t the one from WorldCat</w:t>
      </w:r>
    </w:p>
    <w:p w:rsidR="006A4F2C" w:rsidRDefault="006A4F2C" w:rsidP="00412F29">
      <w:pPr>
        <w:pStyle w:val="NoSpacing"/>
      </w:pPr>
      <w:r>
        <w:t>We state:</w:t>
      </w:r>
    </w:p>
    <w:p w:rsidR="005A37D2" w:rsidRPr="005A37D2" w:rsidRDefault="005A37D2" w:rsidP="005A37D2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5B2500">
        <w:rPr>
          <w:rFonts w:ascii="Courier New" w:hAnsi="Courier New" w:cs="Courier New"/>
          <w:highlight w:val="yellow"/>
        </w:rPr>
        <w:t>remove</w:t>
      </w:r>
      <w:proofErr w:type="gramEnd"/>
      <w:r w:rsidRPr="005A37D2">
        <w:rPr>
          <w:rFonts w:ascii="Courier New" w:hAnsi="Courier New" w:cs="Courier New"/>
        </w:rPr>
        <w:t xml:space="preserve"> MARC."9"XX </w:t>
      </w:r>
      <w:r w:rsidRPr="005A37D2">
        <w:rPr>
          <w:rFonts w:ascii="Courier New" w:hAnsi="Courier New" w:cs="Courier New"/>
          <w:highlight w:val="yellow"/>
        </w:rPr>
        <w:t>excluding</w:t>
      </w:r>
      <w:r w:rsidRPr="005A37D2">
        <w:rPr>
          <w:rFonts w:ascii="Courier New" w:hAnsi="Courier New" w:cs="Courier New"/>
        </w:rPr>
        <w:t xml:space="preserve"> "901,902,940,</w:t>
      </w:r>
      <w:r w:rsidRPr="005A37D2">
        <w:rPr>
          <w:rFonts w:ascii="Courier New" w:hAnsi="Courier New" w:cs="Courier New"/>
          <w:highlight w:val="yellow"/>
        </w:rPr>
        <w:t>948</w:t>
      </w:r>
      <w:r w:rsidRPr="005A37D2">
        <w:rPr>
          <w:rFonts w:ascii="Courier New" w:hAnsi="Courier New" w:cs="Courier New"/>
        </w:rPr>
        <w:t>,950,952,953,954,956,989,998"</w:t>
      </w:r>
    </w:p>
    <w:p w:rsidR="005A37D2" w:rsidRDefault="005A37D2" w:rsidP="005A37D2">
      <w:pPr>
        <w:pStyle w:val="NoSpacing"/>
      </w:pPr>
      <w:r>
        <w:t>Then later we state</w:t>
      </w:r>
    </w:p>
    <w:p w:rsidR="005A37D2" w:rsidRPr="005A37D2" w:rsidRDefault="005A37D2" w:rsidP="005A37D2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5B2500">
        <w:rPr>
          <w:rFonts w:ascii="Courier New" w:hAnsi="Courier New" w:cs="Courier New"/>
          <w:highlight w:val="yellow"/>
        </w:rPr>
        <w:t>replace</w:t>
      </w:r>
      <w:proofErr w:type="gramEnd"/>
      <w:r w:rsidRPr="005A37D2">
        <w:rPr>
          <w:rFonts w:ascii="Courier New" w:hAnsi="Courier New" w:cs="Courier New"/>
        </w:rPr>
        <w:t xml:space="preserve"> MARC.XXX excluding "001,035,082,59X,</w:t>
      </w:r>
      <w:r w:rsidRPr="005B2500">
        <w:rPr>
          <w:rFonts w:ascii="Courier New" w:hAnsi="Courier New" w:cs="Courier New"/>
          <w:highlight w:val="yellow"/>
        </w:rPr>
        <w:t>9XX</w:t>
      </w:r>
      <w:r w:rsidRPr="005A37D2">
        <w:rPr>
          <w:rFonts w:ascii="Courier New" w:hAnsi="Courier New" w:cs="Courier New"/>
        </w:rPr>
        <w:t>"</w:t>
      </w:r>
    </w:p>
    <w:p w:rsidR="005A37D2" w:rsidRDefault="005A37D2" w:rsidP="005A37D2">
      <w:pPr>
        <w:pStyle w:val="NoSpacing"/>
      </w:pPr>
      <w:r>
        <w:t>Then later we state</w:t>
      </w:r>
    </w:p>
    <w:p w:rsidR="005A37D2" w:rsidRPr="005A37D2" w:rsidRDefault="005A37D2" w:rsidP="005A37D2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5B2500">
        <w:rPr>
          <w:rFonts w:ascii="Courier New" w:hAnsi="Courier New" w:cs="Courier New"/>
          <w:highlight w:val="yellow"/>
        </w:rPr>
        <w:t>add</w:t>
      </w:r>
      <w:proofErr w:type="gramEnd"/>
      <w:r w:rsidRPr="005A37D2">
        <w:rPr>
          <w:rFonts w:ascii="Courier New" w:hAnsi="Courier New" w:cs="Courier New"/>
        </w:rPr>
        <w:t xml:space="preserve"> MARC.</w:t>
      </w:r>
      <w:r w:rsidRPr="005B2500">
        <w:rPr>
          <w:rFonts w:ascii="Courier New" w:hAnsi="Courier New" w:cs="Courier New"/>
          <w:highlight w:val="yellow"/>
        </w:rPr>
        <w:t>"9"XX</w:t>
      </w:r>
    </w:p>
    <w:p w:rsidR="005A37D2" w:rsidRDefault="005A37D2" w:rsidP="005C301D">
      <w:pPr>
        <w:pStyle w:val="NoSpacing"/>
      </w:pPr>
      <w:r>
        <w:t>So we are doing add</w:t>
      </w:r>
    </w:p>
    <w:p w:rsidR="005A37D2" w:rsidRDefault="005A37D2" w:rsidP="005A37D2">
      <w:pPr>
        <w:pStyle w:val="NoSpacing"/>
      </w:pPr>
    </w:p>
    <w:p w:rsidR="006A4F2C" w:rsidRPr="005A37D2" w:rsidRDefault="005A37D2" w:rsidP="00412F29">
      <w:pPr>
        <w:pStyle w:val="NoSpacing"/>
        <w:rPr>
          <w:u w:val="single"/>
        </w:rPr>
      </w:pPr>
      <w:r w:rsidRPr="005A37D2">
        <w:rPr>
          <w:u w:val="single"/>
        </w:rPr>
        <w:t>Regarding case 3:</w:t>
      </w:r>
    </w:p>
    <w:p w:rsidR="005A37D2" w:rsidRDefault="005A37D2" w:rsidP="00412F29">
      <w:pPr>
        <w:pStyle w:val="NoSpacing"/>
      </w:pPr>
      <w:r>
        <w:t>We keep the 994 we have and do not take the incoming 994.</w:t>
      </w:r>
    </w:p>
    <w:p w:rsidR="005A37D2" w:rsidRDefault="005A37D2" w:rsidP="00412F29">
      <w:pPr>
        <w:pStyle w:val="NoSpacing"/>
      </w:pPr>
      <w:r>
        <w:t xml:space="preserve">We state </w:t>
      </w:r>
    </w:p>
    <w:p w:rsidR="005A37D2" w:rsidRPr="005A37D2" w:rsidRDefault="005A37D2" w:rsidP="005A37D2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5A37D2">
        <w:rPr>
          <w:rFonts w:ascii="Courier New" w:hAnsi="Courier New" w:cs="Courier New"/>
          <w:highlight w:val="yellow"/>
        </w:rPr>
        <w:t>remove</w:t>
      </w:r>
      <w:proofErr w:type="gramEnd"/>
      <w:r w:rsidRPr="005A37D2">
        <w:rPr>
          <w:rFonts w:ascii="Courier New" w:hAnsi="Courier New" w:cs="Courier New"/>
        </w:rPr>
        <w:t xml:space="preserve"> MARC.</w:t>
      </w:r>
      <w:r w:rsidRPr="005A37D2">
        <w:rPr>
          <w:rFonts w:ascii="Courier New" w:hAnsi="Courier New" w:cs="Courier New"/>
          <w:highlight w:val="yellow"/>
        </w:rPr>
        <w:t>"9"XX</w:t>
      </w:r>
      <w:r w:rsidRPr="005A37D2">
        <w:rPr>
          <w:rFonts w:ascii="Courier New" w:hAnsi="Courier New" w:cs="Courier New"/>
        </w:rPr>
        <w:t xml:space="preserve"> excluding "901,902,940,948,950,952,953,954,956,989,998"</w:t>
      </w:r>
    </w:p>
    <w:p w:rsidR="005A37D2" w:rsidRDefault="005A37D2" w:rsidP="005A37D2">
      <w:pPr>
        <w:pStyle w:val="NoSpacing"/>
      </w:pPr>
      <w:r>
        <w:t>Then later we state</w:t>
      </w:r>
    </w:p>
    <w:p w:rsidR="005A37D2" w:rsidRPr="005A37D2" w:rsidRDefault="005A37D2" w:rsidP="005A37D2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5B2500">
        <w:rPr>
          <w:rFonts w:ascii="Courier New" w:hAnsi="Courier New" w:cs="Courier New"/>
          <w:highlight w:val="yellow"/>
        </w:rPr>
        <w:t>add</w:t>
      </w:r>
      <w:proofErr w:type="gramEnd"/>
      <w:r w:rsidRPr="005A37D2">
        <w:rPr>
          <w:rFonts w:ascii="Courier New" w:hAnsi="Courier New" w:cs="Courier New"/>
        </w:rPr>
        <w:t xml:space="preserve"> MARC.</w:t>
      </w:r>
      <w:r w:rsidRPr="005B2500">
        <w:rPr>
          <w:rFonts w:ascii="Courier New" w:hAnsi="Courier New" w:cs="Courier New"/>
          <w:highlight w:val="yellow"/>
        </w:rPr>
        <w:t>"9"XX</w:t>
      </w:r>
    </w:p>
    <w:p w:rsidR="005A37D2" w:rsidRDefault="005A37D2" w:rsidP="00412F29">
      <w:pPr>
        <w:pStyle w:val="NoSpacing"/>
      </w:pPr>
      <w:r>
        <w:t>The second “add” is irrelevant because we already removed the 994.</w:t>
      </w:r>
    </w:p>
    <w:p w:rsidR="005A37D2" w:rsidRDefault="005A37D2" w:rsidP="00412F29">
      <w:pPr>
        <w:pStyle w:val="NoSpacing"/>
      </w:pPr>
      <w:r>
        <w:t>Only 9XX fields which have not been removed can be added.</w:t>
      </w:r>
    </w:p>
    <w:p w:rsidR="005C301D" w:rsidRDefault="005C301D" w:rsidP="00412F29">
      <w:pPr>
        <w:pStyle w:val="NoSpacing"/>
      </w:pPr>
      <w:r>
        <w:t>So we are only doing remove</w:t>
      </w:r>
    </w:p>
    <w:p w:rsidR="006A4F2C" w:rsidRDefault="006A4F2C" w:rsidP="00412F29">
      <w:pPr>
        <w:pStyle w:val="NoSpacing"/>
      </w:pPr>
    </w:p>
    <w:p w:rsidR="006A4F2C" w:rsidRDefault="006A4F2C" w:rsidP="00412F29">
      <w:pPr>
        <w:pStyle w:val="NoSpacing"/>
      </w:pPr>
    </w:p>
    <w:p w:rsidR="006A4F2C" w:rsidRPr="005A37D2" w:rsidRDefault="005A37D2" w:rsidP="00412F29">
      <w:pPr>
        <w:pStyle w:val="NoSpacing"/>
        <w:rPr>
          <w:b/>
          <w:bCs/>
        </w:rPr>
      </w:pPr>
      <w:bookmarkStart w:id="6" w:name="samplerule"/>
      <w:bookmarkEnd w:id="6"/>
      <w:r w:rsidRPr="005A37D2">
        <w:rPr>
          <w:b/>
          <w:bCs/>
        </w:rPr>
        <w:t>The sample rule</w:t>
      </w:r>
    </w:p>
    <w:p w:rsidR="006A4F2C" w:rsidRDefault="006A4F2C" w:rsidP="00412F29">
      <w:pPr>
        <w:pStyle w:val="NoSpacing"/>
      </w:pP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rule</w:t>
      </w:r>
      <w:proofErr w:type="gramEnd"/>
      <w:r w:rsidRPr="00747181">
        <w:rPr>
          <w:rFonts w:ascii="Courier New" w:hAnsi="Courier New" w:cs="Courier New"/>
        </w:rPr>
        <w:t xml:space="preserve"> "Merge rule for </w:t>
      </w:r>
      <w:proofErr w:type="spellStart"/>
      <w:r w:rsidRPr="00747181">
        <w:rPr>
          <w:rFonts w:ascii="Courier New" w:hAnsi="Courier New" w:cs="Courier New"/>
        </w:rPr>
        <w:t>WorldCatYLK</w:t>
      </w:r>
      <w:proofErr w:type="spellEnd"/>
      <w:r w:rsidRPr="00747181">
        <w:rPr>
          <w:rFonts w:ascii="Courier New" w:hAnsi="Courier New" w:cs="Courier New"/>
        </w:rPr>
        <w:t>"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when</w:t>
      </w:r>
      <w:proofErr w:type="gramEnd"/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merge</w:t>
      </w:r>
      <w:proofErr w:type="gramEnd"/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then</w:t>
      </w:r>
      <w:proofErr w:type="gramEnd"/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MARC."0"XX excluding "001,035,082"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MARC."1"XX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MARC."2"XX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MARC."3"XX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MARC."4"XX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MARC."50"X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MARC."51"X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MARC."52"X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MARC."53"X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MARC."54"X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MARC."55"X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MARC."56"X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MARC."57"X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MARC."58"X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MARC."59"X excluding "590,599"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MARC."6"XX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MARC."7"XX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MARC."8"XX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remove</w:t>
      </w:r>
      <w:proofErr w:type="gramEnd"/>
      <w:r w:rsidRPr="00747181">
        <w:rPr>
          <w:rFonts w:ascii="Courier New" w:hAnsi="Courier New" w:cs="Courier New"/>
        </w:rPr>
        <w:t xml:space="preserve"> MARC."9"XX excluding "901,902,940,948,950,952,953,954,956,989,998"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replace</w:t>
      </w:r>
      <w:proofErr w:type="gramEnd"/>
      <w:r w:rsidRPr="00747181">
        <w:rPr>
          <w:rFonts w:ascii="Courier New" w:hAnsi="Courier New" w:cs="Courier New"/>
        </w:rPr>
        <w:t xml:space="preserve"> MARC.XXX excluding "001,035,082,59X,9XX"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replace</w:t>
      </w:r>
      <w:proofErr w:type="gramEnd"/>
      <w:r w:rsidRPr="00747181">
        <w:rPr>
          <w:rFonts w:ascii="Courier New" w:hAnsi="Courier New" w:cs="Courier New"/>
        </w:rPr>
        <w:t xml:space="preserve"> MARC."035" when MARC."035"."</w:t>
      </w:r>
      <w:proofErr w:type="gramStart"/>
      <w:r w:rsidRPr="00747181">
        <w:rPr>
          <w:rFonts w:ascii="Courier New" w:hAnsi="Courier New" w:cs="Courier New"/>
        </w:rPr>
        <w:t>a</w:t>
      </w:r>
      <w:proofErr w:type="gramEnd"/>
      <w:r w:rsidRPr="00747181">
        <w:rPr>
          <w:rFonts w:ascii="Courier New" w:hAnsi="Courier New" w:cs="Courier New"/>
        </w:rPr>
        <w:t>" does not contain "[</w:t>
      </w:r>
      <w:proofErr w:type="spellStart"/>
      <w:r w:rsidRPr="00747181">
        <w:rPr>
          <w:rFonts w:ascii="Courier New" w:hAnsi="Courier New" w:cs="Courier New"/>
        </w:rPr>
        <w:t>aA</w:t>
      </w:r>
      <w:proofErr w:type="spellEnd"/>
      <w:r w:rsidRPr="00747181">
        <w:rPr>
          <w:rFonts w:ascii="Courier New" w:hAnsi="Courier New" w:cs="Courier New"/>
        </w:rPr>
        <w:t>]</w:t>
      </w:r>
      <w:proofErr w:type="spellStart"/>
      <w:r w:rsidRPr="00747181">
        <w:rPr>
          <w:rFonts w:ascii="Courier New" w:hAnsi="Courier New" w:cs="Courier New"/>
        </w:rPr>
        <w:t>leph</w:t>
      </w:r>
      <w:proofErr w:type="spellEnd"/>
      <w:r w:rsidRPr="00747181">
        <w:rPr>
          <w:rFonts w:ascii="Courier New" w:hAnsi="Courier New" w:cs="Courier New"/>
        </w:rPr>
        <w:t>" excluding MARC."035"("9"," ")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add</w:t>
      </w:r>
      <w:proofErr w:type="gramEnd"/>
      <w:r w:rsidRPr="00747181">
        <w:rPr>
          <w:rFonts w:ascii="Courier New" w:hAnsi="Courier New" w:cs="Courier New"/>
        </w:rPr>
        <w:t xml:space="preserve"> MARC."59"X</w:t>
      </w:r>
    </w:p>
    <w:p w:rsidR="00B3156E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add</w:t>
      </w:r>
      <w:proofErr w:type="gramEnd"/>
      <w:r w:rsidRPr="00747181">
        <w:rPr>
          <w:rFonts w:ascii="Courier New" w:hAnsi="Courier New" w:cs="Courier New"/>
        </w:rPr>
        <w:t xml:space="preserve"> MARC."9"XX</w:t>
      </w:r>
    </w:p>
    <w:p w:rsidR="00EF41F1" w:rsidRPr="00747181" w:rsidRDefault="00B3156E" w:rsidP="00747181">
      <w:pPr>
        <w:pStyle w:val="NoSpacing"/>
        <w:ind w:left="720"/>
        <w:rPr>
          <w:rFonts w:ascii="Courier New" w:hAnsi="Courier New" w:cs="Courier New"/>
        </w:rPr>
      </w:pPr>
      <w:proofErr w:type="gramStart"/>
      <w:r w:rsidRPr="00747181">
        <w:rPr>
          <w:rFonts w:ascii="Courier New" w:hAnsi="Courier New" w:cs="Courier New"/>
        </w:rPr>
        <w:t>end</w:t>
      </w:r>
      <w:proofErr w:type="gramEnd"/>
    </w:p>
    <w:p w:rsidR="005A37D2" w:rsidRDefault="005A37D2" w:rsidP="005A37D2">
      <w:pPr>
        <w:pStyle w:val="NoSpacing"/>
      </w:pPr>
    </w:p>
    <w:p w:rsidR="005A37D2" w:rsidRPr="00A806DD" w:rsidRDefault="00A806DD" w:rsidP="005A37D2">
      <w:pPr>
        <w:pStyle w:val="NoSpacing"/>
        <w:rPr>
          <w:b/>
          <w:bCs/>
        </w:rPr>
      </w:pPr>
      <w:bookmarkStart w:id="7" w:name="results"/>
      <w:bookmarkEnd w:id="7"/>
      <w:r w:rsidRPr="00A806DD">
        <w:rPr>
          <w:b/>
          <w:bCs/>
        </w:rPr>
        <w:t>The results</w:t>
      </w:r>
      <w:r w:rsidR="00747181">
        <w:rPr>
          <w:b/>
          <w:bCs/>
        </w:rPr>
        <w:t xml:space="preserve"> and data</w:t>
      </w:r>
    </w:p>
    <w:p w:rsidR="005A37D2" w:rsidRDefault="005A37D2" w:rsidP="005A37D2">
      <w:pPr>
        <w:pStyle w:val="NoSpacing"/>
      </w:pPr>
    </w:p>
    <w:p w:rsidR="005A37D2" w:rsidRDefault="00A806DD" w:rsidP="005A37D2">
      <w:pPr>
        <w:pStyle w:val="NoSpacing"/>
      </w:pPr>
      <w:r>
        <w:lastRenderedPageBreak/>
        <w:t>Library record before the merge</w:t>
      </w:r>
    </w:p>
    <w:p w:rsidR="005A37D2" w:rsidRDefault="005A37D2" w:rsidP="005A37D2">
      <w:pPr>
        <w:pStyle w:val="NoSpacing"/>
      </w:pPr>
    </w:p>
    <w:p w:rsidR="005A37D2" w:rsidRDefault="005A37D2" w:rsidP="005A37D2">
      <w:pPr>
        <w:pStyle w:val="NoSpacing"/>
      </w:pPr>
      <w:r>
        <w:rPr>
          <w:noProof/>
        </w:rPr>
        <w:drawing>
          <wp:inline distT="0" distB="0" distL="0" distR="0">
            <wp:extent cx="42005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DD" w:rsidRDefault="00A806DD" w:rsidP="005A37D2">
      <w:pPr>
        <w:pStyle w:val="NoSpacing"/>
      </w:pPr>
      <w:r>
        <w:rPr>
          <w:noProof/>
        </w:rPr>
        <w:drawing>
          <wp:inline distT="0" distB="0" distL="0" distR="0">
            <wp:extent cx="4286250" cy="1457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DD" w:rsidRDefault="00A806DD" w:rsidP="005A37D2">
      <w:pPr>
        <w:pStyle w:val="NoSpacing"/>
      </w:pPr>
      <w:r>
        <w:rPr>
          <w:noProof/>
        </w:rPr>
        <w:drawing>
          <wp:inline distT="0" distB="0" distL="0" distR="0">
            <wp:extent cx="4276725" cy="63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DD" w:rsidRDefault="00A806DD" w:rsidP="005A37D2">
      <w:pPr>
        <w:pStyle w:val="NoSpacing"/>
      </w:pPr>
    </w:p>
    <w:p w:rsidR="00A806DD" w:rsidRDefault="00A806DD" w:rsidP="005A37D2">
      <w:pPr>
        <w:pStyle w:val="NoSpacing"/>
      </w:pPr>
      <w:r>
        <w:t>In incoming record</w:t>
      </w:r>
    </w:p>
    <w:p w:rsidR="00A806DD" w:rsidRDefault="00A806DD" w:rsidP="005A37D2">
      <w:pPr>
        <w:pStyle w:val="NoSpacing"/>
      </w:pPr>
    </w:p>
    <w:p w:rsidR="00A806DD" w:rsidRDefault="00D8110A" w:rsidP="005A37D2">
      <w:pPr>
        <w:pStyle w:val="NoSpacing"/>
      </w:pPr>
      <w:r>
        <w:rPr>
          <w:noProof/>
        </w:rPr>
        <w:drawing>
          <wp:inline distT="0" distB="0" distL="0" distR="0">
            <wp:extent cx="4695825" cy="971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DD" w:rsidRDefault="00A806DD" w:rsidP="005A37D2">
      <w:pPr>
        <w:pStyle w:val="NoSpacing"/>
      </w:pPr>
      <w:r>
        <w:rPr>
          <w:noProof/>
        </w:rPr>
        <w:drawing>
          <wp:inline distT="0" distB="0" distL="0" distR="0">
            <wp:extent cx="4610100" cy="923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DD" w:rsidRDefault="00A806DD" w:rsidP="005A37D2">
      <w:pPr>
        <w:pStyle w:val="NoSpacing"/>
      </w:pPr>
      <w:r>
        <w:rPr>
          <w:noProof/>
        </w:rPr>
        <w:drawing>
          <wp:inline distT="0" distB="0" distL="0" distR="0">
            <wp:extent cx="4676775" cy="676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DD" w:rsidRDefault="00A806DD" w:rsidP="005A37D2">
      <w:pPr>
        <w:pStyle w:val="NoSpacing"/>
      </w:pPr>
    </w:p>
    <w:p w:rsidR="00A806DD" w:rsidRDefault="00A806DD" w:rsidP="005A37D2">
      <w:pPr>
        <w:pStyle w:val="NoSpacing"/>
      </w:pPr>
      <w:r>
        <w:t xml:space="preserve">The </w:t>
      </w:r>
      <w:r w:rsidR="00D8110A">
        <w:t xml:space="preserve">merge </w:t>
      </w:r>
      <w:r>
        <w:t>result</w:t>
      </w:r>
    </w:p>
    <w:p w:rsidR="00D8110A" w:rsidRDefault="00D8110A" w:rsidP="005A37D2">
      <w:pPr>
        <w:pStyle w:val="NoSpacing"/>
      </w:pPr>
      <w:r>
        <w:rPr>
          <w:noProof/>
        </w:rPr>
        <w:drawing>
          <wp:inline distT="0" distB="0" distL="0" distR="0">
            <wp:extent cx="4610100" cy="971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10A" w:rsidRDefault="00D8110A" w:rsidP="005A37D2">
      <w:pPr>
        <w:pStyle w:val="NoSpacing"/>
      </w:pPr>
      <w:r>
        <w:rPr>
          <w:noProof/>
        </w:rPr>
        <w:drawing>
          <wp:inline distT="0" distB="0" distL="0" distR="0">
            <wp:extent cx="4619625" cy="1152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DD" w:rsidRDefault="00D8110A" w:rsidP="005A37D2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468630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DD" w:rsidRDefault="00A806DD" w:rsidP="005A37D2">
      <w:pPr>
        <w:pStyle w:val="NoSpacing"/>
      </w:pPr>
    </w:p>
    <w:p w:rsidR="00BB3E3F" w:rsidRDefault="00BB3E3F" w:rsidP="005A37D2">
      <w:pPr>
        <w:pStyle w:val="NoSpacing"/>
      </w:pPr>
    </w:p>
    <w:p w:rsidR="00BB3E3F" w:rsidRPr="00BB3E3F" w:rsidRDefault="00BB3E3F" w:rsidP="00BB3E3F">
      <w:pPr>
        <w:pStyle w:val="NoSpacing"/>
      </w:pPr>
      <w:bookmarkStart w:id="8" w:name="MergeAndCombine"/>
      <w:bookmarkEnd w:id="8"/>
      <w:r w:rsidRPr="00BB3E3F">
        <w:t>Note that in the case of "Merge and combine inventory" the preferred record is on left side.</w:t>
      </w:r>
    </w:p>
    <w:p w:rsidR="00BB3E3F" w:rsidRDefault="00BB3E3F" w:rsidP="005A37D2">
      <w:pPr>
        <w:pStyle w:val="NoSpacing"/>
      </w:pPr>
    </w:p>
    <w:p w:rsidR="00BB3E3F" w:rsidRDefault="00BB3E3F" w:rsidP="005A37D2">
      <w:pPr>
        <w:pStyle w:val="NoSpacing"/>
      </w:pPr>
    </w:p>
    <w:p w:rsidR="00BB3E3F" w:rsidRDefault="00BB3E3F" w:rsidP="005A37D2">
      <w:pPr>
        <w:pStyle w:val="NoSpacing"/>
      </w:pPr>
      <w:r>
        <w:rPr>
          <w:noProof/>
        </w:rPr>
        <w:drawing>
          <wp:inline distT="0" distB="0" distL="0" distR="0">
            <wp:extent cx="6858000" cy="260032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00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B3E3F" w:rsidRDefault="00BB3E3F" w:rsidP="005A37D2">
      <w:pPr>
        <w:pStyle w:val="NoSpacing"/>
      </w:pPr>
    </w:p>
    <w:p w:rsidR="00BB3E3F" w:rsidRDefault="00BB3E3F" w:rsidP="005A37D2">
      <w:pPr>
        <w:pStyle w:val="NoSpacing"/>
      </w:pPr>
      <w:r>
        <w:rPr>
          <w:noProof/>
        </w:rPr>
        <w:drawing>
          <wp:inline distT="0" distB="0" distL="0" distR="0">
            <wp:extent cx="6848475" cy="3371850"/>
            <wp:effectExtent l="19050" t="19050" r="2857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371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B3E3F" w:rsidSect="00747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04C8"/>
    <w:multiLevelType w:val="hybridMultilevel"/>
    <w:tmpl w:val="2E34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114D1"/>
    <w:multiLevelType w:val="hybridMultilevel"/>
    <w:tmpl w:val="BA0E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F6228"/>
    <w:multiLevelType w:val="hybridMultilevel"/>
    <w:tmpl w:val="C5C8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C1786"/>
    <w:multiLevelType w:val="hybridMultilevel"/>
    <w:tmpl w:val="3586C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29"/>
    <w:rsid w:val="0000238D"/>
    <w:rsid w:val="000721DC"/>
    <w:rsid w:val="00085F57"/>
    <w:rsid w:val="000B3263"/>
    <w:rsid w:val="000D7F78"/>
    <w:rsid w:val="000E454A"/>
    <w:rsid w:val="00122CD4"/>
    <w:rsid w:val="001253E7"/>
    <w:rsid w:val="00146C4B"/>
    <w:rsid w:val="00196DC2"/>
    <w:rsid w:val="001B5B84"/>
    <w:rsid w:val="001C3E5A"/>
    <w:rsid w:val="001C7FD6"/>
    <w:rsid w:val="001D3CAC"/>
    <w:rsid w:val="001E501F"/>
    <w:rsid w:val="002123B3"/>
    <w:rsid w:val="00212847"/>
    <w:rsid w:val="00243895"/>
    <w:rsid w:val="002965E8"/>
    <w:rsid w:val="002B2682"/>
    <w:rsid w:val="002F70FF"/>
    <w:rsid w:val="00306391"/>
    <w:rsid w:val="00311D15"/>
    <w:rsid w:val="00332E78"/>
    <w:rsid w:val="00341AC5"/>
    <w:rsid w:val="00351D55"/>
    <w:rsid w:val="00355D10"/>
    <w:rsid w:val="003814CA"/>
    <w:rsid w:val="003A75A5"/>
    <w:rsid w:val="003C5B85"/>
    <w:rsid w:val="003D22C0"/>
    <w:rsid w:val="00412F29"/>
    <w:rsid w:val="00424665"/>
    <w:rsid w:val="0046296A"/>
    <w:rsid w:val="00481428"/>
    <w:rsid w:val="004C0A0F"/>
    <w:rsid w:val="004C4018"/>
    <w:rsid w:val="004E5F4A"/>
    <w:rsid w:val="00571098"/>
    <w:rsid w:val="00577872"/>
    <w:rsid w:val="005A37D2"/>
    <w:rsid w:val="005B2500"/>
    <w:rsid w:val="005C1515"/>
    <w:rsid w:val="005C301D"/>
    <w:rsid w:val="005D2BFA"/>
    <w:rsid w:val="005E5132"/>
    <w:rsid w:val="005E7A69"/>
    <w:rsid w:val="00607C7F"/>
    <w:rsid w:val="00611583"/>
    <w:rsid w:val="00615331"/>
    <w:rsid w:val="00644A79"/>
    <w:rsid w:val="00695BE6"/>
    <w:rsid w:val="006A30D6"/>
    <w:rsid w:val="006A4F2C"/>
    <w:rsid w:val="006A7F67"/>
    <w:rsid w:val="006B108D"/>
    <w:rsid w:val="006D647E"/>
    <w:rsid w:val="006F0AB8"/>
    <w:rsid w:val="007277D5"/>
    <w:rsid w:val="00747181"/>
    <w:rsid w:val="00747EAB"/>
    <w:rsid w:val="007510B1"/>
    <w:rsid w:val="00773EDC"/>
    <w:rsid w:val="00786769"/>
    <w:rsid w:val="0079046D"/>
    <w:rsid w:val="007B15C5"/>
    <w:rsid w:val="007B20A2"/>
    <w:rsid w:val="007B5A83"/>
    <w:rsid w:val="007F0157"/>
    <w:rsid w:val="008120A0"/>
    <w:rsid w:val="008B08F1"/>
    <w:rsid w:val="008E41F8"/>
    <w:rsid w:val="00921E44"/>
    <w:rsid w:val="009222CA"/>
    <w:rsid w:val="00972F1D"/>
    <w:rsid w:val="009A7789"/>
    <w:rsid w:val="009D4019"/>
    <w:rsid w:val="009E6138"/>
    <w:rsid w:val="00A5682D"/>
    <w:rsid w:val="00A806DD"/>
    <w:rsid w:val="00A90FE8"/>
    <w:rsid w:val="00A92770"/>
    <w:rsid w:val="00AA68C7"/>
    <w:rsid w:val="00AE3611"/>
    <w:rsid w:val="00AE5F5B"/>
    <w:rsid w:val="00B00DB4"/>
    <w:rsid w:val="00B3156E"/>
    <w:rsid w:val="00B747BD"/>
    <w:rsid w:val="00B755C9"/>
    <w:rsid w:val="00BA2F27"/>
    <w:rsid w:val="00BB3E3F"/>
    <w:rsid w:val="00BD6651"/>
    <w:rsid w:val="00BF27E6"/>
    <w:rsid w:val="00C535D1"/>
    <w:rsid w:val="00C57552"/>
    <w:rsid w:val="00C862C1"/>
    <w:rsid w:val="00C909BF"/>
    <w:rsid w:val="00CB5EE4"/>
    <w:rsid w:val="00CC6380"/>
    <w:rsid w:val="00CF1B85"/>
    <w:rsid w:val="00D42FE9"/>
    <w:rsid w:val="00D55257"/>
    <w:rsid w:val="00D747C2"/>
    <w:rsid w:val="00D8110A"/>
    <w:rsid w:val="00DA280D"/>
    <w:rsid w:val="00DD2CCA"/>
    <w:rsid w:val="00DF3366"/>
    <w:rsid w:val="00E221AA"/>
    <w:rsid w:val="00E26CA3"/>
    <w:rsid w:val="00E4254D"/>
    <w:rsid w:val="00E73BDD"/>
    <w:rsid w:val="00ED2CAD"/>
    <w:rsid w:val="00ED4E8F"/>
    <w:rsid w:val="00EF41F1"/>
    <w:rsid w:val="00F05675"/>
    <w:rsid w:val="00F46720"/>
    <w:rsid w:val="00F72FD9"/>
    <w:rsid w:val="00F930ED"/>
    <w:rsid w:val="00FA4100"/>
    <w:rsid w:val="00FC79FE"/>
    <w:rsid w:val="00FD1A4E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C6CEC-E651-4441-9046-23CC3CAA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F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1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E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5132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5132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5E513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6</cp:revision>
  <dcterms:created xsi:type="dcterms:W3CDTF">2015-01-20T09:58:00Z</dcterms:created>
  <dcterms:modified xsi:type="dcterms:W3CDTF">2016-05-24T15:10:00Z</dcterms:modified>
</cp:coreProperties>
</file>