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7"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9"/>
        <w:gridCol w:w="1968"/>
      </w:tblGrid>
      <w:tr w:rsidR="001B431D" w14:paraId="2AD51843" w14:textId="77777777" w:rsidTr="0011787A">
        <w:trPr>
          <w:trHeight w:val="530"/>
        </w:trPr>
        <w:tc>
          <w:tcPr>
            <w:tcW w:w="9019" w:type="dxa"/>
            <w:shd w:val="clear" w:color="auto" w:fill="auto"/>
            <w:vAlign w:val="center"/>
          </w:tcPr>
          <w:p w14:paraId="7FCFD7B7" w14:textId="77777777" w:rsidR="001B431D" w:rsidRPr="00632D68" w:rsidRDefault="00F54D90" w:rsidP="00F54D90">
            <w:pPr>
              <w:pStyle w:val="NoSpacing"/>
              <w:rPr>
                <w:b/>
                <w:bCs w:val="0"/>
                <w:sz w:val="40"/>
                <w:szCs w:val="40"/>
              </w:rPr>
            </w:pPr>
            <w:r>
              <w:rPr>
                <w:b/>
                <w:sz w:val="40"/>
                <w:szCs w:val="40"/>
              </w:rPr>
              <w:t>Acquisition</w:t>
            </w:r>
            <w:r w:rsidR="003248FA">
              <w:rPr>
                <w:b/>
                <w:sz w:val="40"/>
                <w:szCs w:val="40"/>
              </w:rPr>
              <w:t>s</w:t>
            </w:r>
            <w:r>
              <w:rPr>
                <w:b/>
                <w:sz w:val="40"/>
                <w:szCs w:val="40"/>
              </w:rPr>
              <w:t xml:space="preserve"> Units: Acquiring and receiving for specific libraries </w:t>
            </w:r>
          </w:p>
        </w:tc>
        <w:tc>
          <w:tcPr>
            <w:tcW w:w="1968" w:type="dxa"/>
          </w:tcPr>
          <w:p w14:paraId="639373FA" w14:textId="77777777" w:rsidR="001B431D" w:rsidRDefault="001B431D" w:rsidP="00EB763F">
            <w:pPr>
              <w:pStyle w:val="Header"/>
            </w:pPr>
            <w:r>
              <w:rPr>
                <w:noProof/>
              </w:rPr>
              <w:drawing>
                <wp:inline distT="0" distB="0" distL="0" distR="0" wp14:anchorId="44AE3BAC" wp14:editId="6B340787">
                  <wp:extent cx="1043832" cy="5619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a_logo.jpg"/>
                          <pic:cNvPicPr/>
                        </pic:nvPicPr>
                        <pic:blipFill rotWithShape="1">
                          <a:blip r:embed="rId7" cstate="print">
                            <a:extLst>
                              <a:ext uri="{28A0092B-C50C-407E-A947-70E740481C1C}">
                                <a14:useLocalDpi xmlns:a14="http://schemas.microsoft.com/office/drawing/2010/main" val="0"/>
                              </a:ext>
                            </a:extLst>
                          </a:blip>
                          <a:srcRect t="6200" b="12416"/>
                          <a:stretch/>
                        </pic:blipFill>
                        <pic:spPr bwMode="auto">
                          <a:xfrm>
                            <a:off x="0" y="0"/>
                            <a:ext cx="1068775" cy="575404"/>
                          </a:xfrm>
                          <a:prstGeom prst="rect">
                            <a:avLst/>
                          </a:prstGeom>
                          <a:ln>
                            <a:noFill/>
                          </a:ln>
                          <a:extLst>
                            <a:ext uri="{53640926-AAD7-44D8-BBD7-CCE9431645EC}">
                              <a14:shadowObscured xmlns:a14="http://schemas.microsoft.com/office/drawing/2010/main"/>
                            </a:ext>
                          </a:extLst>
                        </pic:spPr>
                      </pic:pic>
                    </a:graphicData>
                  </a:graphic>
                </wp:inline>
              </w:drawing>
            </w:r>
          </w:p>
        </w:tc>
      </w:tr>
    </w:tbl>
    <w:p w14:paraId="4C107F08" w14:textId="77777777" w:rsidR="001B431D" w:rsidRDefault="001B431D" w:rsidP="001B431D">
      <w:pPr>
        <w:rPr>
          <w:rFonts w:asciiTheme="minorBidi" w:hAnsiTheme="minorBidi"/>
          <w:sz w:val="24"/>
          <w:szCs w:val="24"/>
        </w:rPr>
      </w:pPr>
      <w:r>
        <w:rPr>
          <w:noProof/>
        </w:rPr>
        <w:drawing>
          <wp:inline distT="0" distB="0" distL="0" distR="0" wp14:anchorId="4611C246" wp14:editId="3256D790">
            <wp:extent cx="5486400" cy="105219"/>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05219"/>
                    </a:xfrm>
                    <a:prstGeom prst="rect">
                      <a:avLst/>
                    </a:prstGeom>
                    <a:noFill/>
                    <a:ln>
                      <a:noFill/>
                    </a:ln>
                  </pic:spPr>
                </pic:pic>
              </a:graphicData>
            </a:graphic>
          </wp:inline>
        </w:drawing>
      </w:r>
    </w:p>
    <w:p w14:paraId="2FE634B1" w14:textId="77777777" w:rsidR="009D2F52" w:rsidRDefault="009D2F52" w:rsidP="000A1A62">
      <w:pPr>
        <w:pStyle w:val="NoSpacing"/>
        <w:rPr>
          <w:b/>
          <w:bCs/>
        </w:rPr>
      </w:pPr>
    </w:p>
    <w:p w14:paraId="2D803B86" w14:textId="77777777" w:rsidR="00FA4ACA" w:rsidRDefault="00554A4E" w:rsidP="000A1A62">
      <w:pPr>
        <w:pStyle w:val="NoSpacing"/>
        <w:rPr>
          <w:b/>
          <w:bCs/>
        </w:rPr>
      </w:pPr>
      <w:r>
        <w:rPr>
          <w:b/>
          <w:bCs/>
        </w:rPr>
        <w:t>Yoel Kortick</w:t>
      </w:r>
    </w:p>
    <w:p w14:paraId="2B7859A0" w14:textId="77777777" w:rsidR="00554A4E" w:rsidRDefault="00554A4E" w:rsidP="000A1A62">
      <w:pPr>
        <w:pStyle w:val="NoSpacing"/>
        <w:rPr>
          <w:b/>
          <w:bCs/>
        </w:rPr>
      </w:pPr>
      <w:r>
        <w:rPr>
          <w:b/>
          <w:bCs/>
        </w:rPr>
        <w:t>Senior Librarian</w:t>
      </w:r>
    </w:p>
    <w:p w14:paraId="43130FB7" w14:textId="77777777" w:rsidR="00554A4E" w:rsidRDefault="00554A4E" w:rsidP="000A1A62">
      <w:pPr>
        <w:pStyle w:val="NoSpacing"/>
        <w:rPr>
          <w:b/>
          <w:bCs/>
        </w:rPr>
      </w:pPr>
    </w:p>
    <w:p w14:paraId="4D4EA8FC" w14:textId="77777777" w:rsidR="00554A4E" w:rsidRDefault="00554A4E" w:rsidP="000A1A62">
      <w:pPr>
        <w:pStyle w:val="NoSpacing"/>
        <w:rPr>
          <w:b/>
          <w:bCs/>
        </w:rPr>
      </w:pPr>
    </w:p>
    <w:p w14:paraId="5DB5ACA7" w14:textId="77777777" w:rsidR="00FA4ACA" w:rsidRDefault="00FA4ACA" w:rsidP="00FA4ACA">
      <w:pPr>
        <w:pStyle w:val="NoSpacing"/>
        <w:rPr>
          <w:b/>
          <w:bCs/>
        </w:rPr>
      </w:pPr>
      <w:r>
        <w:rPr>
          <w:b/>
          <w:bCs/>
        </w:rPr>
        <w:t xml:space="preserve">           </w:t>
      </w:r>
      <w:r>
        <w:rPr>
          <w:b/>
          <w:bCs/>
          <w:noProof/>
        </w:rPr>
        <w:drawing>
          <wp:inline distT="0" distB="0" distL="0" distR="0" wp14:anchorId="48988AE0" wp14:editId="1F148BDE">
            <wp:extent cx="1828800" cy="51500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ijing Normal U Logo.png"/>
                    <pic:cNvPicPr/>
                  </pic:nvPicPr>
                  <pic:blipFill>
                    <a:blip r:embed="rId9">
                      <a:extLst>
                        <a:ext uri="{28A0092B-C50C-407E-A947-70E740481C1C}">
                          <a14:useLocalDpi xmlns:a14="http://schemas.microsoft.com/office/drawing/2010/main" val="0"/>
                        </a:ext>
                      </a:extLst>
                    </a:blip>
                    <a:stretch>
                      <a:fillRect/>
                    </a:stretch>
                  </pic:blipFill>
                  <pic:spPr>
                    <a:xfrm>
                      <a:off x="0" y="0"/>
                      <a:ext cx="1828800" cy="515007"/>
                    </a:xfrm>
                    <a:prstGeom prst="rect">
                      <a:avLst/>
                    </a:prstGeom>
                  </pic:spPr>
                </pic:pic>
              </a:graphicData>
            </a:graphic>
          </wp:inline>
        </w:drawing>
      </w:r>
      <w:r>
        <w:rPr>
          <w:b/>
          <w:bCs/>
        </w:rPr>
        <w:t xml:space="preserve">                                  </w:t>
      </w:r>
      <w:r>
        <w:rPr>
          <w:b/>
          <w:bCs/>
          <w:noProof/>
        </w:rPr>
        <w:drawing>
          <wp:inline distT="0" distB="0" distL="0" distR="0" wp14:anchorId="72468AFA" wp14:editId="174E9607">
            <wp:extent cx="1828800" cy="5591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singhua U logo.png"/>
                    <pic:cNvPicPr/>
                  </pic:nvPicPr>
                  <pic:blipFill>
                    <a:blip r:embed="rId10">
                      <a:extLst>
                        <a:ext uri="{28A0092B-C50C-407E-A947-70E740481C1C}">
                          <a14:useLocalDpi xmlns:a14="http://schemas.microsoft.com/office/drawing/2010/main" val="0"/>
                        </a:ext>
                      </a:extLst>
                    </a:blip>
                    <a:stretch>
                      <a:fillRect/>
                    </a:stretch>
                  </pic:blipFill>
                  <pic:spPr>
                    <a:xfrm>
                      <a:off x="0" y="0"/>
                      <a:ext cx="1828800" cy="559165"/>
                    </a:xfrm>
                    <a:prstGeom prst="rect">
                      <a:avLst/>
                    </a:prstGeom>
                    <a:ln>
                      <a:noFill/>
                    </a:ln>
                  </pic:spPr>
                </pic:pic>
              </a:graphicData>
            </a:graphic>
          </wp:inline>
        </w:drawing>
      </w:r>
    </w:p>
    <w:p w14:paraId="1DAD6C18" w14:textId="77777777" w:rsidR="00FA4ACA" w:rsidRDefault="00FA4ACA" w:rsidP="00FA4ACA">
      <w:pPr>
        <w:pStyle w:val="NoSpacing"/>
        <w:rPr>
          <w:b/>
          <w:bCs/>
        </w:rPr>
      </w:pPr>
    </w:p>
    <w:p w14:paraId="21189E00" w14:textId="77777777" w:rsidR="00FA4ACA" w:rsidRDefault="00FA4ACA" w:rsidP="000A1A62">
      <w:pPr>
        <w:pStyle w:val="NoSpacing"/>
      </w:pPr>
    </w:p>
    <w:p w14:paraId="48723234" w14:textId="77777777" w:rsidR="00FA4ACA" w:rsidRPr="00FA4ACA" w:rsidRDefault="00FA4ACA" w:rsidP="000A1A62">
      <w:pPr>
        <w:pStyle w:val="NoSpacing"/>
      </w:pPr>
      <w:r w:rsidRPr="00FA4ACA">
        <w:t>Best viewed in mode ‘View &gt; Navigation Pane’</w:t>
      </w:r>
    </w:p>
    <w:p w14:paraId="5FFCC450" w14:textId="77777777" w:rsidR="003248FA" w:rsidRDefault="003248FA" w:rsidP="003248FA">
      <w:pPr>
        <w:pStyle w:val="Heading1"/>
      </w:pPr>
      <w:r>
        <w:t>Introduction</w:t>
      </w:r>
    </w:p>
    <w:p w14:paraId="7F041F94" w14:textId="77777777" w:rsidR="003643CF" w:rsidRDefault="003643CF" w:rsidP="0011787A">
      <w:pPr>
        <w:pStyle w:val="NoSpacing"/>
      </w:pPr>
    </w:p>
    <w:p w14:paraId="5C3C6DE5" w14:textId="77777777" w:rsidR="009D2F52" w:rsidRDefault="003248FA" w:rsidP="0011787A">
      <w:pPr>
        <w:pStyle w:val="NoSpacing"/>
      </w:pPr>
      <w:r>
        <w:t>It is possible to define that certain libraries will be able to</w:t>
      </w:r>
    </w:p>
    <w:p w14:paraId="1550D139" w14:textId="77777777" w:rsidR="003248FA" w:rsidRDefault="003248FA" w:rsidP="003248FA">
      <w:pPr>
        <w:pStyle w:val="NoSpacing"/>
        <w:numPr>
          <w:ilvl w:val="0"/>
          <w:numId w:val="3"/>
        </w:numPr>
      </w:pPr>
      <w:r>
        <w:t>Acquire for other libraries</w:t>
      </w:r>
    </w:p>
    <w:p w14:paraId="587721D1" w14:textId="77777777" w:rsidR="003248FA" w:rsidRDefault="003248FA" w:rsidP="003248FA">
      <w:pPr>
        <w:pStyle w:val="NoSpacing"/>
        <w:numPr>
          <w:ilvl w:val="0"/>
          <w:numId w:val="3"/>
        </w:numPr>
      </w:pPr>
      <w:r>
        <w:t>Receive inventory for other libraries</w:t>
      </w:r>
    </w:p>
    <w:p w14:paraId="6D592BE9" w14:textId="77777777" w:rsidR="003248FA" w:rsidRDefault="003248FA" w:rsidP="00FA4ACA">
      <w:pPr>
        <w:pStyle w:val="NoSpacing"/>
      </w:pPr>
      <w:r>
        <w:t>This is sometimes referred to as a “Library Unit”, an “Acquisitions Unit” or an “Acquisitions Service Unit”.</w:t>
      </w:r>
    </w:p>
    <w:p w14:paraId="10F67372" w14:textId="77777777" w:rsidR="003248FA" w:rsidRDefault="003248FA" w:rsidP="0011787A">
      <w:pPr>
        <w:pStyle w:val="NoSpacing"/>
      </w:pPr>
      <w:r>
        <w:t>This document will briefly explain how this done.</w:t>
      </w:r>
    </w:p>
    <w:p w14:paraId="74D54FF1" w14:textId="77777777" w:rsidR="00855476" w:rsidRPr="00855476" w:rsidRDefault="00855476" w:rsidP="0011787A">
      <w:pPr>
        <w:pStyle w:val="NoSpacing"/>
      </w:pPr>
    </w:p>
    <w:p w14:paraId="3668C836" w14:textId="77777777" w:rsidR="00855476" w:rsidRDefault="00855476" w:rsidP="0011787A">
      <w:pPr>
        <w:pStyle w:val="NoSpacing"/>
      </w:pPr>
      <w:r w:rsidRPr="00855476">
        <w:t xml:space="preserve">In </w:t>
      </w:r>
      <w:proofErr w:type="gramStart"/>
      <w:r w:rsidRPr="00855476">
        <w:t>general</w:t>
      </w:r>
      <w:proofErr w:type="gramEnd"/>
      <w:r w:rsidRPr="00855476">
        <w:t xml:space="preserve"> these are the key elements:</w:t>
      </w:r>
    </w:p>
    <w:p w14:paraId="6CD59C9A" w14:textId="77777777" w:rsidR="00855476" w:rsidRDefault="00855476" w:rsidP="00855476">
      <w:pPr>
        <w:pStyle w:val="NoSpacing"/>
        <w:numPr>
          <w:ilvl w:val="0"/>
          <w:numId w:val="9"/>
        </w:numPr>
      </w:pPr>
      <w:r>
        <w:t>The “Acquire for” library relations determine which POL Owner Library may acquire inventory for which other libraries</w:t>
      </w:r>
    </w:p>
    <w:p w14:paraId="59E5A9BE" w14:textId="77777777" w:rsidR="00855476" w:rsidRDefault="00855476" w:rsidP="00855476">
      <w:pPr>
        <w:pStyle w:val="NoSpacing"/>
        <w:numPr>
          <w:ilvl w:val="0"/>
          <w:numId w:val="9"/>
        </w:numPr>
      </w:pPr>
      <w:r>
        <w:t>The “served libraries” of the acquisitions department for which the staff is a receiving operator determine which libraries’ inventory may be received while at that acquisitions department.</w:t>
      </w:r>
    </w:p>
    <w:p w14:paraId="5AADCA25" w14:textId="77777777" w:rsidR="00855476" w:rsidRDefault="00855476" w:rsidP="00855476">
      <w:pPr>
        <w:pStyle w:val="NoSpacing"/>
      </w:pPr>
    </w:p>
    <w:p w14:paraId="5830CB66" w14:textId="77777777" w:rsidR="00855476" w:rsidRDefault="00855476" w:rsidP="00855476">
      <w:pPr>
        <w:pStyle w:val="NoSpacing"/>
      </w:pPr>
    </w:p>
    <w:p w14:paraId="62F7FFB7" w14:textId="77777777" w:rsidR="00855476" w:rsidRPr="00855476" w:rsidRDefault="00855476" w:rsidP="00855476">
      <w:pPr>
        <w:pStyle w:val="NoSpacing"/>
      </w:pPr>
    </w:p>
    <w:p w14:paraId="5F19EC64" w14:textId="77777777" w:rsidR="00855476" w:rsidRPr="003248FA" w:rsidRDefault="00855476" w:rsidP="0011787A">
      <w:pPr>
        <w:pStyle w:val="NoSpacing"/>
      </w:pPr>
    </w:p>
    <w:p w14:paraId="008E9B2A" w14:textId="77777777" w:rsidR="00855476" w:rsidRDefault="00855476" w:rsidP="00CE3986">
      <w:pPr>
        <w:pStyle w:val="Heading1"/>
      </w:pPr>
      <w:r>
        <w:t>S</w:t>
      </w:r>
      <w:r w:rsidRPr="00855476">
        <w:t>cope of the staff user role “Purchasing Operator”</w:t>
      </w:r>
    </w:p>
    <w:p w14:paraId="79E33DC5" w14:textId="77777777" w:rsidR="00855476" w:rsidRDefault="00855476" w:rsidP="00855476">
      <w:pPr>
        <w:pStyle w:val="NoSpacing"/>
      </w:pPr>
    </w:p>
    <w:p w14:paraId="1DC5B285" w14:textId="77777777" w:rsidR="00855476" w:rsidRDefault="00855476" w:rsidP="00855476">
      <w:pPr>
        <w:pStyle w:val="NoSpacing"/>
      </w:pPr>
      <w:r w:rsidRPr="00855476">
        <w:t>The scope of the staff user role “Purchasing Operator” or “Purchasing Manager” determines which libraries can be chosen by the staff user as the POL Owner Library.</w:t>
      </w:r>
      <w:r>
        <w:t xml:space="preserve">  For the remainder of this document we will show and discuss the “Purchasing Operator”, but it applies also for “Purchasing Manager”.  </w:t>
      </w:r>
    </w:p>
    <w:p w14:paraId="445E5263" w14:textId="77777777" w:rsidR="00855476" w:rsidRDefault="00855476" w:rsidP="00855476">
      <w:pPr>
        <w:pStyle w:val="NoSpacing"/>
      </w:pPr>
    </w:p>
    <w:p w14:paraId="718B7109" w14:textId="77777777" w:rsidR="00855476" w:rsidRDefault="00855476" w:rsidP="00855476">
      <w:pPr>
        <w:pStyle w:val="NoSpacing"/>
        <w:numPr>
          <w:ilvl w:val="0"/>
          <w:numId w:val="8"/>
        </w:numPr>
      </w:pPr>
      <w:r>
        <w:t xml:space="preserve">If the scope of the role “Purchasing Operator” is the institution then any library may be chosen as the POL owner.  </w:t>
      </w:r>
    </w:p>
    <w:p w14:paraId="0D7C54A4" w14:textId="77777777" w:rsidR="00855476" w:rsidRDefault="00855476" w:rsidP="00855476">
      <w:pPr>
        <w:pStyle w:val="NoSpacing"/>
        <w:numPr>
          <w:ilvl w:val="0"/>
          <w:numId w:val="8"/>
        </w:numPr>
      </w:pPr>
      <w:r>
        <w:lastRenderedPageBreak/>
        <w:t xml:space="preserve">If the scope of the role “Purchasing Operator” is a specific library then only that specific library may be chosen as the POL owner.    </w:t>
      </w:r>
    </w:p>
    <w:p w14:paraId="75C7E07B" w14:textId="77777777" w:rsidR="00855476" w:rsidRDefault="00855476" w:rsidP="00855476">
      <w:pPr>
        <w:pStyle w:val="NoSpacing"/>
        <w:numPr>
          <w:ilvl w:val="0"/>
          <w:numId w:val="8"/>
        </w:numPr>
      </w:pPr>
      <w:r>
        <w:t>One staff user may have multiple occurrences of the role “Purchasing Operator” and each time it may have a different scope.</w:t>
      </w:r>
    </w:p>
    <w:p w14:paraId="0FFBC4C6" w14:textId="77777777" w:rsidR="00855476" w:rsidRDefault="00855476" w:rsidP="00855476">
      <w:pPr>
        <w:pStyle w:val="NoSpacing"/>
      </w:pPr>
    </w:p>
    <w:p w14:paraId="48B89D98" w14:textId="77777777" w:rsidR="00A21E01" w:rsidRDefault="00A21E01" w:rsidP="00855476">
      <w:pPr>
        <w:pStyle w:val="NoSpacing"/>
      </w:pPr>
    </w:p>
    <w:p w14:paraId="6D82BCDD" w14:textId="77777777" w:rsidR="00A21E01" w:rsidRDefault="00A21E01" w:rsidP="00855476">
      <w:pPr>
        <w:pStyle w:val="NoSpacing"/>
      </w:pPr>
      <w:r>
        <w:rPr>
          <w:noProof/>
        </w:rPr>
        <w:drawing>
          <wp:inline distT="0" distB="0" distL="0" distR="0" wp14:anchorId="3CDE521A" wp14:editId="380074D4">
            <wp:extent cx="457200" cy="2155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ger pointing to an important poi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215530"/>
                    </a:xfrm>
                    <a:prstGeom prst="rect">
                      <a:avLst/>
                    </a:prstGeom>
                  </pic:spPr>
                </pic:pic>
              </a:graphicData>
            </a:graphic>
          </wp:inline>
        </w:drawing>
      </w:r>
      <w:r>
        <w:t>The POL Owner library can only be a scope of the Purchasing Operator of the staff user.</w:t>
      </w:r>
    </w:p>
    <w:p w14:paraId="4B9452A9" w14:textId="77777777" w:rsidR="00A21E01" w:rsidRDefault="00A21E01" w:rsidP="00855476">
      <w:pPr>
        <w:pStyle w:val="NoSpacing"/>
      </w:pPr>
    </w:p>
    <w:p w14:paraId="1433F849" w14:textId="77777777" w:rsidR="00A21E01" w:rsidRDefault="00A21E01" w:rsidP="00855476">
      <w:pPr>
        <w:pStyle w:val="NoSpacing"/>
      </w:pPr>
    </w:p>
    <w:p w14:paraId="28C8C8A9" w14:textId="77777777" w:rsidR="00855476" w:rsidRDefault="00855476" w:rsidP="00855476">
      <w:pPr>
        <w:pStyle w:val="NoSpacing"/>
      </w:pPr>
      <w:r>
        <w:t>For example:</w:t>
      </w:r>
    </w:p>
    <w:p w14:paraId="39C6C174" w14:textId="77777777" w:rsidR="00855476" w:rsidRDefault="00855476" w:rsidP="00855476">
      <w:pPr>
        <w:pStyle w:val="NoSpacing"/>
      </w:pPr>
      <w:r>
        <w:t>User Sarah Khan has role Purchasing Operator for Main Library:</w:t>
      </w:r>
    </w:p>
    <w:p w14:paraId="18F8529D" w14:textId="77777777" w:rsidR="00855476" w:rsidRDefault="00855476" w:rsidP="00855476">
      <w:pPr>
        <w:pStyle w:val="NoSpacing"/>
      </w:pPr>
    </w:p>
    <w:p w14:paraId="098611DA" w14:textId="77777777" w:rsidR="00855476" w:rsidRDefault="00855476" w:rsidP="00855476">
      <w:pPr>
        <w:pStyle w:val="NoSpacing"/>
      </w:pPr>
      <w:r>
        <w:rPr>
          <w:noProof/>
        </w:rPr>
        <w:drawing>
          <wp:inline distT="0" distB="0" distL="0" distR="0" wp14:anchorId="048ECA80" wp14:editId="74FB5009">
            <wp:extent cx="5478145" cy="461010"/>
            <wp:effectExtent l="19050" t="19050" r="27305" b="152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8145" cy="461010"/>
                    </a:xfrm>
                    <a:prstGeom prst="rect">
                      <a:avLst/>
                    </a:prstGeom>
                    <a:noFill/>
                    <a:ln>
                      <a:solidFill>
                        <a:schemeClr val="accent1"/>
                      </a:solidFill>
                    </a:ln>
                  </pic:spPr>
                </pic:pic>
              </a:graphicData>
            </a:graphic>
          </wp:inline>
        </w:drawing>
      </w:r>
    </w:p>
    <w:p w14:paraId="7767903D" w14:textId="77777777" w:rsidR="00855476" w:rsidRDefault="00855476" w:rsidP="00855476">
      <w:pPr>
        <w:pStyle w:val="NoSpacing"/>
      </w:pPr>
    </w:p>
    <w:p w14:paraId="5B156F44" w14:textId="77777777" w:rsidR="00855476" w:rsidRDefault="00855476" w:rsidP="00855476">
      <w:pPr>
        <w:pStyle w:val="NoSpacing"/>
      </w:pPr>
      <w:r>
        <w:t>This is what she can choose as POL Owner</w:t>
      </w:r>
      <w:r>
        <w:rPr>
          <w:rFonts w:eastAsia="Times New Roman" w:cs="Arial"/>
        </w:rPr>
        <w:t xml:space="preserve"> (only libraries that match her Purchasing Operator scope)</w:t>
      </w:r>
      <w:r w:rsidRPr="00745569">
        <w:rPr>
          <w:rFonts w:eastAsia="Times New Roman" w:cs="Arial"/>
        </w:rPr>
        <w:t>:</w:t>
      </w:r>
    </w:p>
    <w:p w14:paraId="605A6E53" w14:textId="77777777" w:rsidR="00855476" w:rsidRDefault="00855476" w:rsidP="00855476">
      <w:pPr>
        <w:pStyle w:val="NoSpacing"/>
      </w:pPr>
    </w:p>
    <w:p w14:paraId="08475234" w14:textId="77777777" w:rsidR="00855476" w:rsidRDefault="00855476" w:rsidP="00855476">
      <w:pPr>
        <w:pStyle w:val="NoSpacing"/>
      </w:pPr>
      <w:r>
        <w:rPr>
          <w:noProof/>
        </w:rPr>
        <w:drawing>
          <wp:inline distT="0" distB="0" distL="0" distR="0" wp14:anchorId="683A6AAB" wp14:editId="241B16A3">
            <wp:extent cx="5478145" cy="1876425"/>
            <wp:effectExtent l="19050" t="19050" r="27305" b="285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8145" cy="1876425"/>
                    </a:xfrm>
                    <a:prstGeom prst="rect">
                      <a:avLst/>
                    </a:prstGeom>
                    <a:noFill/>
                    <a:ln>
                      <a:solidFill>
                        <a:schemeClr val="accent1"/>
                      </a:solidFill>
                    </a:ln>
                  </pic:spPr>
                </pic:pic>
              </a:graphicData>
            </a:graphic>
          </wp:inline>
        </w:drawing>
      </w:r>
    </w:p>
    <w:p w14:paraId="33294585" w14:textId="77777777" w:rsidR="00855476" w:rsidRDefault="00855476" w:rsidP="00855476">
      <w:pPr>
        <w:pStyle w:val="NoSpacing"/>
      </w:pPr>
    </w:p>
    <w:p w14:paraId="515CD4BC" w14:textId="77777777" w:rsidR="00855476" w:rsidRDefault="00855476" w:rsidP="00855476">
      <w:pPr>
        <w:pStyle w:val="NoSpacing"/>
      </w:pPr>
    </w:p>
    <w:p w14:paraId="715A0CD5" w14:textId="77777777" w:rsidR="00855476" w:rsidRDefault="00855476" w:rsidP="00855476">
      <w:pPr>
        <w:pStyle w:val="NoSpacing"/>
      </w:pPr>
      <w:r>
        <w:t>User Maya Ali has role Purchasing Operator for Law Library:</w:t>
      </w:r>
    </w:p>
    <w:p w14:paraId="26AB2DBC" w14:textId="77777777" w:rsidR="00855476" w:rsidRDefault="00855476" w:rsidP="00855476">
      <w:pPr>
        <w:pStyle w:val="NoSpacing"/>
      </w:pPr>
    </w:p>
    <w:p w14:paraId="10063D92" w14:textId="77777777" w:rsidR="00855476" w:rsidRPr="00E302AD" w:rsidRDefault="00855476" w:rsidP="00855476">
      <w:pPr>
        <w:pStyle w:val="NoSpacing"/>
      </w:pPr>
      <w:r>
        <w:rPr>
          <w:noProof/>
        </w:rPr>
        <w:drawing>
          <wp:inline distT="0" distB="0" distL="0" distR="0" wp14:anchorId="3E403000" wp14:editId="3F7E4019">
            <wp:extent cx="5486400" cy="374015"/>
            <wp:effectExtent l="19050" t="19050" r="19050" b="260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74015"/>
                    </a:xfrm>
                    <a:prstGeom prst="rect">
                      <a:avLst/>
                    </a:prstGeom>
                    <a:noFill/>
                    <a:ln>
                      <a:solidFill>
                        <a:schemeClr val="accent1"/>
                      </a:solidFill>
                    </a:ln>
                  </pic:spPr>
                </pic:pic>
              </a:graphicData>
            </a:graphic>
          </wp:inline>
        </w:drawing>
      </w:r>
    </w:p>
    <w:p w14:paraId="5A74CD53" w14:textId="77777777" w:rsidR="00855476" w:rsidRDefault="00855476" w:rsidP="00855476">
      <w:pPr>
        <w:pStyle w:val="NoSpacing"/>
      </w:pPr>
    </w:p>
    <w:p w14:paraId="4DF5C756" w14:textId="77777777" w:rsidR="00855476" w:rsidRDefault="00855476" w:rsidP="00855476">
      <w:pPr>
        <w:pStyle w:val="NoSpacing"/>
      </w:pPr>
      <w:r>
        <w:t>This is what she can choose as POL Owner</w:t>
      </w:r>
      <w:r>
        <w:rPr>
          <w:rFonts w:eastAsia="Times New Roman" w:cs="Arial"/>
        </w:rPr>
        <w:t xml:space="preserve"> (only libraries that match her Purchasing Operator scope)</w:t>
      </w:r>
      <w:r w:rsidRPr="00745569">
        <w:rPr>
          <w:rFonts w:eastAsia="Times New Roman" w:cs="Arial"/>
        </w:rPr>
        <w:t>:</w:t>
      </w:r>
    </w:p>
    <w:p w14:paraId="68ED1471" w14:textId="77777777" w:rsidR="00855476" w:rsidRDefault="00855476" w:rsidP="00855476">
      <w:pPr>
        <w:pStyle w:val="NoSpacing"/>
      </w:pPr>
    </w:p>
    <w:p w14:paraId="6A3629F6" w14:textId="77777777" w:rsidR="00855476" w:rsidRDefault="00855476" w:rsidP="00855476">
      <w:pPr>
        <w:pStyle w:val="NoSpacing"/>
      </w:pPr>
      <w:r>
        <w:rPr>
          <w:noProof/>
        </w:rPr>
        <w:lastRenderedPageBreak/>
        <w:drawing>
          <wp:inline distT="0" distB="0" distL="0" distR="0" wp14:anchorId="696DDF96" wp14:editId="37277BE6">
            <wp:extent cx="5486400" cy="1844675"/>
            <wp:effectExtent l="19050" t="19050" r="19050" b="222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844675"/>
                    </a:xfrm>
                    <a:prstGeom prst="rect">
                      <a:avLst/>
                    </a:prstGeom>
                    <a:noFill/>
                    <a:ln>
                      <a:solidFill>
                        <a:schemeClr val="accent1"/>
                      </a:solidFill>
                    </a:ln>
                  </pic:spPr>
                </pic:pic>
              </a:graphicData>
            </a:graphic>
          </wp:inline>
        </w:drawing>
      </w:r>
    </w:p>
    <w:p w14:paraId="3AF4A652" w14:textId="77777777" w:rsidR="00855476" w:rsidRDefault="00855476" w:rsidP="00855476">
      <w:pPr>
        <w:pStyle w:val="NoSpacing"/>
      </w:pPr>
    </w:p>
    <w:p w14:paraId="569D7D77" w14:textId="77777777" w:rsidR="00855476" w:rsidRDefault="00855476" w:rsidP="00855476">
      <w:pPr>
        <w:pStyle w:val="NoSpacing"/>
      </w:pPr>
      <w:r>
        <w:t>User Mary Ann Barlow has Purchasing Operator for both the Law Library and the Main Library</w:t>
      </w:r>
    </w:p>
    <w:p w14:paraId="72E32AB9" w14:textId="77777777" w:rsidR="00855476" w:rsidRDefault="00855476" w:rsidP="00855476">
      <w:pPr>
        <w:pStyle w:val="NoSpacing"/>
      </w:pPr>
    </w:p>
    <w:p w14:paraId="0FEAFC03" w14:textId="77777777" w:rsidR="00855476" w:rsidRDefault="00855476" w:rsidP="00855476">
      <w:pPr>
        <w:pStyle w:val="NoSpacing"/>
      </w:pPr>
      <w:r>
        <w:rPr>
          <w:noProof/>
        </w:rPr>
        <w:drawing>
          <wp:inline distT="0" distB="0" distL="0" distR="0" wp14:anchorId="00C8EA72" wp14:editId="36D6BA42">
            <wp:extent cx="5486400" cy="699770"/>
            <wp:effectExtent l="19050" t="19050" r="19050" b="241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699770"/>
                    </a:xfrm>
                    <a:prstGeom prst="rect">
                      <a:avLst/>
                    </a:prstGeom>
                    <a:noFill/>
                    <a:ln>
                      <a:solidFill>
                        <a:schemeClr val="accent1"/>
                      </a:solidFill>
                    </a:ln>
                  </pic:spPr>
                </pic:pic>
              </a:graphicData>
            </a:graphic>
          </wp:inline>
        </w:drawing>
      </w:r>
    </w:p>
    <w:p w14:paraId="44D2BBDB" w14:textId="77777777" w:rsidR="00855476" w:rsidRDefault="00855476" w:rsidP="00855476">
      <w:pPr>
        <w:pStyle w:val="NoSpacing"/>
      </w:pPr>
    </w:p>
    <w:p w14:paraId="637DA64F" w14:textId="77777777" w:rsidR="00855476" w:rsidRPr="00745569" w:rsidRDefault="00855476" w:rsidP="00855476">
      <w:pPr>
        <w:rPr>
          <w:rFonts w:eastAsia="Times New Roman" w:cs="Arial"/>
        </w:rPr>
      </w:pPr>
      <w:r w:rsidRPr="00745569">
        <w:rPr>
          <w:rFonts w:eastAsia="Times New Roman" w:cs="Arial"/>
        </w:rPr>
        <w:t>This is what she can choose as POL Owner</w:t>
      </w:r>
      <w:r>
        <w:rPr>
          <w:rFonts w:eastAsia="Times New Roman" w:cs="Arial"/>
        </w:rPr>
        <w:t xml:space="preserve"> (only libraries that match her Purchasing Operator scopes)</w:t>
      </w:r>
      <w:r w:rsidRPr="00745569">
        <w:rPr>
          <w:rFonts w:eastAsia="Times New Roman" w:cs="Arial"/>
        </w:rPr>
        <w:t>:</w:t>
      </w:r>
    </w:p>
    <w:p w14:paraId="66621829" w14:textId="77777777" w:rsidR="00855476" w:rsidRDefault="00855476" w:rsidP="00855476">
      <w:pPr>
        <w:pStyle w:val="NoSpacing"/>
      </w:pPr>
    </w:p>
    <w:p w14:paraId="5C45D993" w14:textId="77777777" w:rsidR="00855476" w:rsidRDefault="00855476" w:rsidP="00855476">
      <w:pPr>
        <w:pStyle w:val="NoSpacing"/>
      </w:pPr>
      <w:r>
        <w:rPr>
          <w:noProof/>
        </w:rPr>
        <w:drawing>
          <wp:inline distT="0" distB="0" distL="0" distR="0" wp14:anchorId="66B43B36" wp14:editId="2B5065A1">
            <wp:extent cx="5486400" cy="2027555"/>
            <wp:effectExtent l="19050" t="19050" r="19050" b="1079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2027555"/>
                    </a:xfrm>
                    <a:prstGeom prst="rect">
                      <a:avLst/>
                    </a:prstGeom>
                    <a:noFill/>
                    <a:ln>
                      <a:solidFill>
                        <a:schemeClr val="accent1"/>
                      </a:solidFill>
                    </a:ln>
                  </pic:spPr>
                </pic:pic>
              </a:graphicData>
            </a:graphic>
          </wp:inline>
        </w:drawing>
      </w:r>
    </w:p>
    <w:p w14:paraId="7EB8BFD4" w14:textId="77777777" w:rsidR="00855476" w:rsidRDefault="00855476" w:rsidP="00855476">
      <w:pPr>
        <w:pStyle w:val="NoSpacing"/>
      </w:pPr>
    </w:p>
    <w:p w14:paraId="10A429A5" w14:textId="77777777" w:rsidR="00855476" w:rsidRDefault="00855476" w:rsidP="00855476">
      <w:pPr>
        <w:pStyle w:val="NoSpacing"/>
      </w:pPr>
      <w:r>
        <w:t>User Niki Karimi has Purchasing Operator for the entire institution “Alma University”</w:t>
      </w:r>
    </w:p>
    <w:p w14:paraId="04DE5BB6" w14:textId="77777777" w:rsidR="00855476" w:rsidRDefault="00855476" w:rsidP="00855476">
      <w:pPr>
        <w:pStyle w:val="NoSpacing"/>
      </w:pPr>
    </w:p>
    <w:p w14:paraId="61711481" w14:textId="77777777" w:rsidR="00855476" w:rsidRDefault="00855476" w:rsidP="00855476">
      <w:pPr>
        <w:pStyle w:val="NoSpacing"/>
      </w:pPr>
      <w:r>
        <w:rPr>
          <w:noProof/>
        </w:rPr>
        <w:drawing>
          <wp:inline distT="0" distB="0" distL="0" distR="0" wp14:anchorId="46579141" wp14:editId="286C3432">
            <wp:extent cx="5478145" cy="278130"/>
            <wp:effectExtent l="19050" t="19050" r="27305" b="266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78145" cy="278130"/>
                    </a:xfrm>
                    <a:prstGeom prst="rect">
                      <a:avLst/>
                    </a:prstGeom>
                    <a:noFill/>
                    <a:ln>
                      <a:solidFill>
                        <a:schemeClr val="accent1"/>
                      </a:solidFill>
                    </a:ln>
                  </pic:spPr>
                </pic:pic>
              </a:graphicData>
            </a:graphic>
          </wp:inline>
        </w:drawing>
      </w:r>
    </w:p>
    <w:p w14:paraId="4A2C8C54" w14:textId="77777777" w:rsidR="00855476" w:rsidRDefault="00855476" w:rsidP="00855476">
      <w:pPr>
        <w:pStyle w:val="NoSpacing"/>
      </w:pPr>
    </w:p>
    <w:p w14:paraId="2A1048D6" w14:textId="77777777" w:rsidR="00855476" w:rsidRPr="00CC1AC1" w:rsidRDefault="00855476" w:rsidP="00855476">
      <w:pPr>
        <w:rPr>
          <w:rFonts w:eastAsia="Times New Roman" w:cs="Arial"/>
        </w:rPr>
      </w:pPr>
      <w:r w:rsidRPr="00745569">
        <w:rPr>
          <w:rFonts w:eastAsia="Times New Roman" w:cs="Arial"/>
        </w:rPr>
        <w:t>This is w</w:t>
      </w:r>
      <w:r>
        <w:rPr>
          <w:rFonts w:eastAsia="Times New Roman" w:cs="Arial"/>
        </w:rPr>
        <w:t xml:space="preserve">hat she can choose as POL Owner (all libraries </w:t>
      </w:r>
      <w:proofErr w:type="spellStart"/>
      <w:r>
        <w:rPr>
          <w:rFonts w:eastAsia="Times New Roman" w:cs="Arial"/>
        </w:rPr>
        <w:t>becaseu</w:t>
      </w:r>
      <w:proofErr w:type="spellEnd"/>
      <w:r>
        <w:rPr>
          <w:rFonts w:eastAsia="Times New Roman" w:cs="Arial"/>
        </w:rPr>
        <w:t xml:space="preserve"> her </w:t>
      </w:r>
      <w:proofErr w:type="spellStart"/>
      <w:r>
        <w:rPr>
          <w:rFonts w:eastAsia="Times New Roman" w:cs="Arial"/>
        </w:rPr>
        <w:t>Purchaing</w:t>
      </w:r>
      <w:proofErr w:type="spellEnd"/>
      <w:r>
        <w:rPr>
          <w:rFonts w:eastAsia="Times New Roman" w:cs="Arial"/>
        </w:rPr>
        <w:t xml:space="preserve"> Operator </w:t>
      </w:r>
      <w:proofErr w:type="spellStart"/>
      <w:r>
        <w:rPr>
          <w:rFonts w:eastAsia="Times New Roman" w:cs="Arial"/>
        </w:rPr>
        <w:t>scopew</w:t>
      </w:r>
      <w:proofErr w:type="spellEnd"/>
      <w:r>
        <w:rPr>
          <w:rFonts w:eastAsia="Times New Roman" w:cs="Arial"/>
        </w:rPr>
        <w:t xml:space="preserve"> is the entire institution):</w:t>
      </w:r>
    </w:p>
    <w:p w14:paraId="4DC6F6CF" w14:textId="77777777" w:rsidR="00855476" w:rsidRDefault="00855476" w:rsidP="00855476">
      <w:pPr>
        <w:pStyle w:val="NoSpacing"/>
      </w:pPr>
    </w:p>
    <w:p w14:paraId="64F73E76" w14:textId="77777777" w:rsidR="00855476" w:rsidRDefault="00855476" w:rsidP="00855476">
      <w:pPr>
        <w:pStyle w:val="NoSpacing"/>
      </w:pPr>
      <w:r>
        <w:rPr>
          <w:noProof/>
        </w:rPr>
        <w:lastRenderedPageBreak/>
        <w:drawing>
          <wp:inline distT="0" distB="0" distL="0" distR="0" wp14:anchorId="5A1B23E0" wp14:editId="5E3C2DAD">
            <wp:extent cx="5486400" cy="4166235"/>
            <wp:effectExtent l="19050" t="19050" r="19050" b="2476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4166235"/>
                    </a:xfrm>
                    <a:prstGeom prst="rect">
                      <a:avLst/>
                    </a:prstGeom>
                    <a:noFill/>
                    <a:ln>
                      <a:solidFill>
                        <a:schemeClr val="accent1"/>
                      </a:solidFill>
                    </a:ln>
                  </pic:spPr>
                </pic:pic>
              </a:graphicData>
            </a:graphic>
          </wp:inline>
        </w:drawing>
      </w:r>
    </w:p>
    <w:p w14:paraId="7C2417D8" w14:textId="77777777" w:rsidR="009D2F52" w:rsidRDefault="009D2F52" w:rsidP="000A1A62">
      <w:pPr>
        <w:pStyle w:val="NoSpacing"/>
      </w:pPr>
    </w:p>
    <w:p w14:paraId="0FB3B7A7" w14:textId="77777777" w:rsidR="003248FA" w:rsidRDefault="003643CF" w:rsidP="003643CF">
      <w:pPr>
        <w:pStyle w:val="Heading1"/>
      </w:pPr>
      <w:r>
        <w:t>Relationships</w:t>
      </w:r>
      <w:r w:rsidR="00CE3986">
        <w:t xml:space="preserve"> of type “Acquiring For”</w:t>
      </w:r>
    </w:p>
    <w:p w14:paraId="7C9930A5" w14:textId="77777777" w:rsidR="003643CF" w:rsidRDefault="003643CF" w:rsidP="000A1A62">
      <w:pPr>
        <w:pStyle w:val="NoSpacing"/>
      </w:pPr>
    </w:p>
    <w:p w14:paraId="1BEC25E0" w14:textId="77777777" w:rsidR="003248FA" w:rsidRDefault="003248FA" w:rsidP="000A1A62">
      <w:pPr>
        <w:pStyle w:val="NoSpacing"/>
      </w:pPr>
      <w:r>
        <w:t>The definitions of which libraries can acquire for other libraries is defined in the library relations.</w:t>
      </w:r>
    </w:p>
    <w:p w14:paraId="4D75C6A2" w14:textId="77777777" w:rsidR="00FA4ACA" w:rsidRDefault="003248FA" w:rsidP="003248FA">
      <w:pPr>
        <w:pStyle w:val="NoSpacing"/>
      </w:pPr>
      <w:r>
        <w:t>For example in the situation below t</w:t>
      </w:r>
      <w:r w:rsidRPr="003248FA">
        <w:t xml:space="preserve">he </w:t>
      </w:r>
      <w:r>
        <w:t>“</w:t>
      </w:r>
      <w:r w:rsidRPr="003248FA">
        <w:t>Main library</w:t>
      </w:r>
      <w:r>
        <w:t>”</w:t>
      </w:r>
      <w:r w:rsidRPr="003248FA">
        <w:t xml:space="preserve"> is defined to be able to order for (acquire for) </w:t>
      </w:r>
      <w:r w:rsidR="00FA4ACA">
        <w:t>the following:</w:t>
      </w:r>
    </w:p>
    <w:p w14:paraId="3A5220E6" w14:textId="77777777" w:rsidR="00FA4ACA" w:rsidRDefault="00FA4ACA" w:rsidP="00FA4ACA">
      <w:pPr>
        <w:pStyle w:val="NoSpacing"/>
        <w:numPr>
          <w:ilvl w:val="0"/>
          <w:numId w:val="7"/>
        </w:numPr>
      </w:pPr>
      <w:r>
        <w:t>The Main Library (itself)</w:t>
      </w:r>
    </w:p>
    <w:p w14:paraId="7BC4EE8B" w14:textId="77777777" w:rsidR="00FA4ACA" w:rsidRDefault="00FA4ACA" w:rsidP="00FA4ACA">
      <w:pPr>
        <w:pStyle w:val="NoSpacing"/>
        <w:numPr>
          <w:ilvl w:val="0"/>
          <w:numId w:val="7"/>
        </w:numPr>
      </w:pPr>
      <w:r>
        <w:t>T</w:t>
      </w:r>
      <w:r w:rsidR="003248FA" w:rsidRPr="003248FA">
        <w:t>he Art Library</w:t>
      </w:r>
    </w:p>
    <w:p w14:paraId="4D004647" w14:textId="77777777" w:rsidR="00FA4ACA" w:rsidRDefault="00FA4ACA" w:rsidP="00FA4ACA">
      <w:pPr>
        <w:pStyle w:val="NoSpacing"/>
        <w:numPr>
          <w:ilvl w:val="0"/>
          <w:numId w:val="7"/>
        </w:numPr>
      </w:pPr>
      <w:r>
        <w:t>T</w:t>
      </w:r>
      <w:r w:rsidR="003248FA" w:rsidRPr="003248FA">
        <w:t>he Engineering Library</w:t>
      </w:r>
    </w:p>
    <w:p w14:paraId="1E94EE55" w14:textId="77777777" w:rsidR="00FA4ACA" w:rsidRDefault="00FA4ACA" w:rsidP="00FA4ACA">
      <w:pPr>
        <w:pStyle w:val="NoSpacing"/>
        <w:numPr>
          <w:ilvl w:val="0"/>
          <w:numId w:val="7"/>
        </w:numPr>
      </w:pPr>
      <w:r>
        <w:t>T</w:t>
      </w:r>
      <w:r w:rsidR="003248FA" w:rsidRPr="003248FA">
        <w:t>he Music Library</w:t>
      </w:r>
    </w:p>
    <w:p w14:paraId="5287F2DE" w14:textId="77777777" w:rsidR="00FA4ACA" w:rsidRDefault="00FA4ACA" w:rsidP="00FA4ACA">
      <w:pPr>
        <w:pStyle w:val="NoSpacing"/>
      </w:pPr>
    </w:p>
    <w:p w14:paraId="447D0D22" w14:textId="77777777" w:rsidR="003248FA" w:rsidRDefault="003248FA" w:rsidP="00FA4ACA">
      <w:pPr>
        <w:pStyle w:val="NoSpacing"/>
      </w:pPr>
      <w:r>
        <w:t>We have navigated as follows:</w:t>
      </w:r>
    </w:p>
    <w:p w14:paraId="0C6DAD11" w14:textId="77777777" w:rsidR="00E302AD" w:rsidRDefault="003248FA" w:rsidP="00E302AD">
      <w:pPr>
        <w:pStyle w:val="NoSpacing"/>
        <w:numPr>
          <w:ilvl w:val="0"/>
          <w:numId w:val="4"/>
        </w:numPr>
      </w:pPr>
      <w:r>
        <w:t>General</w:t>
      </w:r>
      <w:r w:rsidR="00E302AD">
        <w:t xml:space="preserve"> Configuration Menu</w:t>
      </w:r>
    </w:p>
    <w:p w14:paraId="6695253D" w14:textId="77777777" w:rsidR="00E302AD" w:rsidRDefault="003248FA" w:rsidP="00E302AD">
      <w:pPr>
        <w:pStyle w:val="NoSpacing"/>
        <w:numPr>
          <w:ilvl w:val="0"/>
          <w:numId w:val="4"/>
        </w:numPr>
      </w:pPr>
      <w:r>
        <w:t>Choose on top left ‘Configuring Main Library’</w:t>
      </w:r>
    </w:p>
    <w:p w14:paraId="02C27A9E" w14:textId="77777777" w:rsidR="003248FA" w:rsidRDefault="003248FA" w:rsidP="00E302AD">
      <w:pPr>
        <w:pStyle w:val="NoSpacing"/>
        <w:numPr>
          <w:ilvl w:val="0"/>
          <w:numId w:val="4"/>
        </w:numPr>
      </w:pPr>
      <w:r>
        <w:t>Relationships</w:t>
      </w:r>
    </w:p>
    <w:p w14:paraId="79E6B0A0" w14:textId="77777777" w:rsidR="00FA4ACA" w:rsidRDefault="00FA4ACA" w:rsidP="00E302AD">
      <w:pPr>
        <w:pStyle w:val="NoSpacing"/>
      </w:pPr>
    </w:p>
    <w:p w14:paraId="2212D0EE" w14:textId="77777777" w:rsidR="00FA4ACA" w:rsidRDefault="00E302AD" w:rsidP="00E302AD">
      <w:pPr>
        <w:pStyle w:val="NoSpacing"/>
      </w:pPr>
      <w:r>
        <w:t>See that it is defined that the Main Library may acquire for the Art</w:t>
      </w:r>
      <w:r w:rsidRPr="003248FA">
        <w:t xml:space="preserve"> Library, the Engineering Library and the Music Library</w:t>
      </w:r>
      <w:r>
        <w:t xml:space="preserve">.  </w:t>
      </w:r>
    </w:p>
    <w:p w14:paraId="46E60D1B" w14:textId="77777777" w:rsidR="00FA4ACA" w:rsidRDefault="00FA4ACA" w:rsidP="00E302AD">
      <w:pPr>
        <w:pStyle w:val="NoSpacing"/>
      </w:pPr>
    </w:p>
    <w:p w14:paraId="0291AC10" w14:textId="77777777" w:rsidR="00E302AD" w:rsidRDefault="00A21E01" w:rsidP="00E302AD">
      <w:pPr>
        <w:pStyle w:val="NoSpacing"/>
      </w:pPr>
      <w:r>
        <w:rPr>
          <w:noProof/>
        </w:rPr>
        <w:lastRenderedPageBreak/>
        <w:drawing>
          <wp:inline distT="0" distB="0" distL="0" distR="0" wp14:anchorId="45B135DE" wp14:editId="3A6C4E54">
            <wp:extent cx="457200" cy="2155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ger pointing to an important poi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215530"/>
                    </a:xfrm>
                    <a:prstGeom prst="rect">
                      <a:avLst/>
                    </a:prstGeom>
                  </pic:spPr>
                </pic:pic>
              </a:graphicData>
            </a:graphic>
          </wp:inline>
        </w:drawing>
      </w:r>
      <w:r>
        <w:t xml:space="preserve"> </w:t>
      </w:r>
      <w:r w:rsidR="00E302AD">
        <w:t xml:space="preserve">This means that </w:t>
      </w:r>
      <w:r w:rsidR="00E302AD">
        <w:rPr>
          <w:b/>
          <w:bCs/>
        </w:rPr>
        <w:t>if the POL Owner is Main Library then inventory may be chosen in the POL for the Main Library, the Art Library, the Engineering Library or the Music Library</w:t>
      </w:r>
    </w:p>
    <w:p w14:paraId="2982A0D4" w14:textId="77777777" w:rsidR="00E302AD" w:rsidRDefault="00E302AD" w:rsidP="00E302AD">
      <w:pPr>
        <w:pStyle w:val="NoSpacing"/>
      </w:pPr>
    </w:p>
    <w:p w14:paraId="1360B5A5" w14:textId="77777777" w:rsidR="00E302AD" w:rsidRDefault="00E302AD" w:rsidP="00E302AD">
      <w:pPr>
        <w:pStyle w:val="NoSpacing"/>
      </w:pPr>
      <w:r>
        <w:rPr>
          <w:noProof/>
        </w:rPr>
        <w:drawing>
          <wp:inline distT="0" distB="0" distL="0" distR="0" wp14:anchorId="6805CDB2" wp14:editId="41B1160F">
            <wp:extent cx="5486400" cy="2210435"/>
            <wp:effectExtent l="19050" t="19050" r="19050"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2210435"/>
                    </a:xfrm>
                    <a:prstGeom prst="rect">
                      <a:avLst/>
                    </a:prstGeom>
                    <a:noFill/>
                    <a:ln>
                      <a:solidFill>
                        <a:schemeClr val="accent1"/>
                      </a:solidFill>
                    </a:ln>
                  </pic:spPr>
                </pic:pic>
              </a:graphicData>
            </a:graphic>
          </wp:inline>
        </w:drawing>
      </w:r>
    </w:p>
    <w:p w14:paraId="00253025" w14:textId="77777777" w:rsidR="00E302AD" w:rsidRDefault="00E302AD" w:rsidP="00E302AD">
      <w:pPr>
        <w:pStyle w:val="NoSpacing"/>
      </w:pPr>
    </w:p>
    <w:p w14:paraId="2DB4AD92" w14:textId="77777777" w:rsidR="00B05109" w:rsidRDefault="00B05109" w:rsidP="00B05109">
      <w:pPr>
        <w:pStyle w:val="NoSpacing"/>
      </w:pPr>
      <w:r>
        <w:t>For example:</w:t>
      </w:r>
    </w:p>
    <w:p w14:paraId="07738160" w14:textId="77777777" w:rsidR="00B05109" w:rsidRDefault="00B05109" w:rsidP="00B05109">
      <w:pPr>
        <w:pStyle w:val="NoSpacing"/>
      </w:pPr>
    </w:p>
    <w:p w14:paraId="7536FEBD" w14:textId="77777777" w:rsidR="00B05109" w:rsidRDefault="00B05109" w:rsidP="00B05109">
      <w:pPr>
        <w:pStyle w:val="NoSpacing"/>
      </w:pPr>
      <w:r>
        <w:t>If the POL Owner is Main Library then Inventory may be added for the Main Library as well as those other libraries which are defined as an “Acquire For” relationship with the Main Library.</w:t>
      </w:r>
    </w:p>
    <w:p w14:paraId="59D781B5" w14:textId="77777777" w:rsidR="00B05109" w:rsidRDefault="00B05109" w:rsidP="00B05109">
      <w:pPr>
        <w:pStyle w:val="NoSpacing"/>
      </w:pPr>
    </w:p>
    <w:p w14:paraId="3B97F012" w14:textId="77777777" w:rsidR="00B05109" w:rsidRDefault="00B05109" w:rsidP="00B05109">
      <w:pPr>
        <w:pStyle w:val="NoSpacing"/>
      </w:pPr>
      <w:r>
        <w:rPr>
          <w:noProof/>
        </w:rPr>
        <w:drawing>
          <wp:inline distT="0" distB="0" distL="0" distR="0" wp14:anchorId="41A8029C" wp14:editId="6578E73F">
            <wp:extent cx="5478145" cy="2576195"/>
            <wp:effectExtent l="19050" t="19050" r="27305" b="146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78145" cy="2576195"/>
                    </a:xfrm>
                    <a:prstGeom prst="rect">
                      <a:avLst/>
                    </a:prstGeom>
                    <a:noFill/>
                    <a:ln>
                      <a:solidFill>
                        <a:srgbClr val="0070C0"/>
                      </a:solidFill>
                    </a:ln>
                  </pic:spPr>
                </pic:pic>
              </a:graphicData>
            </a:graphic>
          </wp:inline>
        </w:drawing>
      </w:r>
    </w:p>
    <w:p w14:paraId="4EE1AAEB" w14:textId="77777777" w:rsidR="00B05109" w:rsidRDefault="00B05109" w:rsidP="00E302AD">
      <w:pPr>
        <w:pStyle w:val="NoSpacing"/>
      </w:pPr>
    </w:p>
    <w:p w14:paraId="4266E50B" w14:textId="77777777" w:rsidR="00B05109" w:rsidRDefault="00B05109" w:rsidP="00E302AD">
      <w:pPr>
        <w:pStyle w:val="NoSpacing"/>
      </w:pPr>
    </w:p>
    <w:p w14:paraId="006DB184" w14:textId="77777777" w:rsidR="00E302AD" w:rsidRDefault="00E302AD" w:rsidP="00E302AD">
      <w:pPr>
        <w:pStyle w:val="NoSpacing"/>
      </w:pPr>
      <w:r>
        <w:t>Additionally, t</w:t>
      </w:r>
      <w:r w:rsidRPr="00E302AD">
        <w:t xml:space="preserve">he Law </w:t>
      </w:r>
      <w:r>
        <w:t>L</w:t>
      </w:r>
      <w:r w:rsidRPr="00E302AD">
        <w:t>ibrary is defined to be able to order for (acquire for) only itself</w:t>
      </w:r>
      <w:r>
        <w:t>.  We have navigated as follows:</w:t>
      </w:r>
    </w:p>
    <w:p w14:paraId="0B3FB241" w14:textId="77777777" w:rsidR="00E302AD" w:rsidRDefault="00E302AD" w:rsidP="00E302AD">
      <w:pPr>
        <w:pStyle w:val="NoSpacing"/>
        <w:numPr>
          <w:ilvl w:val="0"/>
          <w:numId w:val="5"/>
        </w:numPr>
      </w:pPr>
      <w:r>
        <w:t>General Configuration Menu</w:t>
      </w:r>
    </w:p>
    <w:p w14:paraId="25A61BEB" w14:textId="77777777" w:rsidR="00E302AD" w:rsidRDefault="00E302AD" w:rsidP="00E302AD">
      <w:pPr>
        <w:pStyle w:val="NoSpacing"/>
        <w:numPr>
          <w:ilvl w:val="0"/>
          <w:numId w:val="5"/>
        </w:numPr>
      </w:pPr>
      <w:r>
        <w:t>Choose on top left ‘Configuring Law Library’</w:t>
      </w:r>
    </w:p>
    <w:p w14:paraId="7089BD1B" w14:textId="77777777" w:rsidR="00E302AD" w:rsidRDefault="00E302AD" w:rsidP="00E302AD">
      <w:pPr>
        <w:pStyle w:val="NoSpacing"/>
        <w:numPr>
          <w:ilvl w:val="0"/>
          <w:numId w:val="5"/>
        </w:numPr>
      </w:pPr>
      <w:r>
        <w:t>Relationships</w:t>
      </w:r>
    </w:p>
    <w:p w14:paraId="6F2895E0" w14:textId="77777777" w:rsidR="00A21E01" w:rsidRDefault="00A21E01" w:rsidP="003643CF">
      <w:pPr>
        <w:pStyle w:val="NoSpacing"/>
      </w:pPr>
    </w:p>
    <w:p w14:paraId="030AAB8A" w14:textId="77777777" w:rsidR="00FA4ACA" w:rsidRDefault="00E302AD" w:rsidP="003643CF">
      <w:pPr>
        <w:pStyle w:val="NoSpacing"/>
      </w:pPr>
      <w:r>
        <w:lastRenderedPageBreak/>
        <w:t xml:space="preserve">See that the Law Library </w:t>
      </w:r>
      <w:r w:rsidRPr="00E302AD">
        <w:t xml:space="preserve">has no </w:t>
      </w:r>
      <w:r>
        <w:t xml:space="preserve">“acquire for” </w:t>
      </w:r>
      <w:r w:rsidRPr="00E302AD">
        <w:t>relations set with any other libraries.</w:t>
      </w:r>
      <w:r>
        <w:t xml:space="preserve">  This means that it can only “acquire for” itself.  </w:t>
      </w:r>
    </w:p>
    <w:p w14:paraId="4B6375AB" w14:textId="77777777" w:rsidR="00FA4ACA" w:rsidRDefault="00FA4ACA" w:rsidP="003643CF">
      <w:pPr>
        <w:pStyle w:val="NoSpacing"/>
      </w:pPr>
    </w:p>
    <w:p w14:paraId="41A6053A" w14:textId="77777777" w:rsidR="00E302AD" w:rsidRDefault="00A21E01" w:rsidP="003643CF">
      <w:pPr>
        <w:pStyle w:val="NoSpacing"/>
        <w:rPr>
          <w:b/>
          <w:bCs/>
        </w:rPr>
      </w:pPr>
      <w:r>
        <w:rPr>
          <w:noProof/>
        </w:rPr>
        <w:drawing>
          <wp:inline distT="0" distB="0" distL="0" distR="0" wp14:anchorId="6A4C4E26" wp14:editId="0C5F0816">
            <wp:extent cx="457200" cy="21553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ger pointing to an important poi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215530"/>
                    </a:xfrm>
                    <a:prstGeom prst="rect">
                      <a:avLst/>
                    </a:prstGeom>
                  </pic:spPr>
                </pic:pic>
              </a:graphicData>
            </a:graphic>
          </wp:inline>
        </w:drawing>
      </w:r>
      <w:r>
        <w:t xml:space="preserve"> </w:t>
      </w:r>
      <w:r w:rsidR="00E302AD">
        <w:t xml:space="preserve">This means that </w:t>
      </w:r>
      <w:r w:rsidR="00E302AD">
        <w:rPr>
          <w:b/>
          <w:bCs/>
        </w:rPr>
        <w:t xml:space="preserve">if the POL Owner is </w:t>
      </w:r>
      <w:r w:rsidR="003643CF" w:rsidRPr="003643CF">
        <w:rPr>
          <w:b/>
          <w:bCs/>
        </w:rPr>
        <w:t>Law Library then inventory may be chosen only for the Law Library</w:t>
      </w:r>
      <w:r w:rsidR="003643CF">
        <w:rPr>
          <w:b/>
          <w:bCs/>
        </w:rPr>
        <w:t>.</w:t>
      </w:r>
    </w:p>
    <w:p w14:paraId="19236654" w14:textId="77777777" w:rsidR="003643CF" w:rsidRDefault="003643CF" w:rsidP="003643CF">
      <w:pPr>
        <w:pStyle w:val="NoSpacing"/>
      </w:pPr>
    </w:p>
    <w:p w14:paraId="7E195956" w14:textId="77777777" w:rsidR="00E302AD" w:rsidRDefault="00E302AD" w:rsidP="00E302AD">
      <w:pPr>
        <w:pStyle w:val="NoSpacing"/>
      </w:pPr>
      <w:r>
        <w:rPr>
          <w:noProof/>
        </w:rPr>
        <w:drawing>
          <wp:inline distT="0" distB="0" distL="0" distR="0" wp14:anchorId="34C5E645" wp14:editId="271FBA56">
            <wp:extent cx="5478145" cy="1908175"/>
            <wp:effectExtent l="19050" t="19050" r="27305" b="158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78145" cy="1908175"/>
                    </a:xfrm>
                    <a:prstGeom prst="rect">
                      <a:avLst/>
                    </a:prstGeom>
                    <a:noFill/>
                    <a:ln>
                      <a:solidFill>
                        <a:schemeClr val="accent1"/>
                      </a:solidFill>
                    </a:ln>
                  </pic:spPr>
                </pic:pic>
              </a:graphicData>
            </a:graphic>
          </wp:inline>
        </w:drawing>
      </w:r>
    </w:p>
    <w:p w14:paraId="2D853A9E" w14:textId="77777777" w:rsidR="00E302AD" w:rsidRDefault="00E302AD" w:rsidP="00E302AD">
      <w:pPr>
        <w:pStyle w:val="NoSpacing"/>
      </w:pPr>
    </w:p>
    <w:p w14:paraId="6B269B55" w14:textId="77777777" w:rsidR="006F2EF9" w:rsidRDefault="006F2EF9" w:rsidP="006F2EF9">
      <w:pPr>
        <w:pStyle w:val="NoSpacing"/>
      </w:pPr>
      <w:r>
        <w:t>For example:</w:t>
      </w:r>
    </w:p>
    <w:p w14:paraId="43220736" w14:textId="77777777" w:rsidR="006F2EF9" w:rsidRDefault="006F2EF9" w:rsidP="006F2EF9">
      <w:pPr>
        <w:pStyle w:val="NoSpacing"/>
      </w:pPr>
    </w:p>
    <w:p w14:paraId="0B7B7BDC" w14:textId="77777777" w:rsidR="006F2EF9" w:rsidRDefault="006F2EF9" w:rsidP="006F2EF9">
      <w:pPr>
        <w:pStyle w:val="NoSpacing"/>
      </w:pPr>
      <w:r>
        <w:t>If the POL Owner is Law Library then Inventory may be added only for the Law Library.</w:t>
      </w:r>
    </w:p>
    <w:p w14:paraId="1B4B6737" w14:textId="77777777" w:rsidR="006F2EF9" w:rsidRDefault="006F2EF9" w:rsidP="006F2EF9">
      <w:pPr>
        <w:pStyle w:val="NoSpacing"/>
      </w:pPr>
    </w:p>
    <w:p w14:paraId="36C3569D" w14:textId="77777777" w:rsidR="006F2EF9" w:rsidRDefault="006F2EF9" w:rsidP="006F2EF9">
      <w:pPr>
        <w:pStyle w:val="NoSpacing"/>
      </w:pPr>
      <w:r>
        <w:rPr>
          <w:noProof/>
        </w:rPr>
        <w:drawing>
          <wp:inline distT="0" distB="0" distL="0" distR="0" wp14:anchorId="073C43D9" wp14:editId="2E037DB3">
            <wp:extent cx="5478145" cy="2472690"/>
            <wp:effectExtent l="19050" t="19050" r="27305" b="2286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78145" cy="2472690"/>
                    </a:xfrm>
                    <a:prstGeom prst="rect">
                      <a:avLst/>
                    </a:prstGeom>
                    <a:noFill/>
                    <a:ln>
                      <a:solidFill>
                        <a:srgbClr val="0070C0"/>
                      </a:solidFill>
                    </a:ln>
                  </pic:spPr>
                </pic:pic>
              </a:graphicData>
            </a:graphic>
          </wp:inline>
        </w:drawing>
      </w:r>
    </w:p>
    <w:p w14:paraId="7EDE9042" w14:textId="77777777" w:rsidR="006F2EF9" w:rsidRDefault="006F2EF9" w:rsidP="006F2EF9">
      <w:pPr>
        <w:pStyle w:val="NoSpacing"/>
      </w:pPr>
    </w:p>
    <w:p w14:paraId="3B514244" w14:textId="77777777" w:rsidR="006F2EF9" w:rsidRDefault="006F2EF9" w:rsidP="00E302AD">
      <w:pPr>
        <w:pStyle w:val="NoSpacing"/>
      </w:pPr>
    </w:p>
    <w:p w14:paraId="37680225" w14:textId="77777777" w:rsidR="00E302AD" w:rsidRDefault="003643CF" w:rsidP="00E302AD">
      <w:pPr>
        <w:pStyle w:val="NoSpacing"/>
      </w:pPr>
      <w:r>
        <w:t>In summary:</w:t>
      </w:r>
    </w:p>
    <w:p w14:paraId="2C271E4F" w14:textId="77777777" w:rsidR="003643CF" w:rsidRDefault="003643CF" w:rsidP="003643CF">
      <w:pPr>
        <w:pStyle w:val="NoSpacing"/>
        <w:numPr>
          <w:ilvl w:val="0"/>
          <w:numId w:val="6"/>
        </w:numPr>
      </w:pPr>
      <w:r w:rsidRPr="003643CF">
        <w:t>If the POL Owner is Main Library then inventory may be chosen in the POL for the Main Library, the Art Library, the Engineering Library or the Music Library</w:t>
      </w:r>
    </w:p>
    <w:p w14:paraId="73C28082" w14:textId="77777777" w:rsidR="003643CF" w:rsidRDefault="003643CF" w:rsidP="003643CF">
      <w:pPr>
        <w:pStyle w:val="NoSpacing"/>
        <w:numPr>
          <w:ilvl w:val="0"/>
          <w:numId w:val="6"/>
        </w:numPr>
      </w:pPr>
      <w:r>
        <w:t>I</w:t>
      </w:r>
      <w:r w:rsidRPr="003643CF">
        <w:t xml:space="preserve">f the POL Owner is </w:t>
      </w:r>
      <w:r>
        <w:t>Law</w:t>
      </w:r>
      <w:r w:rsidRPr="003643CF">
        <w:t xml:space="preserve"> Library then inventory may be chosen </w:t>
      </w:r>
      <w:r>
        <w:t>only for the Law</w:t>
      </w:r>
      <w:r w:rsidRPr="003643CF">
        <w:t xml:space="preserve"> Library</w:t>
      </w:r>
    </w:p>
    <w:p w14:paraId="07C8E3D5" w14:textId="77777777" w:rsidR="00CE3986" w:rsidRDefault="00CE3986" w:rsidP="00CE3986">
      <w:pPr>
        <w:pStyle w:val="NoSpacing"/>
      </w:pPr>
    </w:p>
    <w:p w14:paraId="40D9055F" w14:textId="77777777" w:rsidR="00CE3986" w:rsidRDefault="00CE3986" w:rsidP="00CE3986">
      <w:pPr>
        <w:pStyle w:val="Heading1"/>
      </w:pPr>
      <w:r>
        <w:lastRenderedPageBreak/>
        <w:t>Acquisitions Department Served Libraries and Operators</w:t>
      </w:r>
    </w:p>
    <w:p w14:paraId="60AFE0AE" w14:textId="77777777" w:rsidR="00CE3986" w:rsidRDefault="00CE3986" w:rsidP="00CE3986">
      <w:pPr>
        <w:pStyle w:val="NoSpacing"/>
      </w:pPr>
    </w:p>
    <w:p w14:paraId="564B64E0" w14:textId="77777777" w:rsidR="00B76086" w:rsidRDefault="00B76086" w:rsidP="00CE3986">
      <w:pPr>
        <w:pStyle w:val="NoSpacing"/>
      </w:pPr>
      <w:r>
        <w:t>In order to receive the inventory which has been ordered the staff user must either be at</w:t>
      </w:r>
    </w:p>
    <w:p w14:paraId="2569D445" w14:textId="77777777" w:rsidR="00B76086" w:rsidRDefault="00B76086" w:rsidP="00B76086">
      <w:pPr>
        <w:pStyle w:val="NoSpacing"/>
        <w:numPr>
          <w:ilvl w:val="0"/>
          <w:numId w:val="10"/>
        </w:numPr>
      </w:pPr>
      <w:r>
        <w:t>An acquisitions department</w:t>
      </w:r>
    </w:p>
    <w:p w14:paraId="68012E4F" w14:textId="77777777" w:rsidR="00B76086" w:rsidRDefault="00B76086" w:rsidP="00B76086">
      <w:pPr>
        <w:pStyle w:val="NoSpacing"/>
        <w:numPr>
          <w:ilvl w:val="0"/>
          <w:numId w:val="10"/>
        </w:numPr>
      </w:pPr>
      <w:r>
        <w:t>A circulation desk which supports an inquisitions work order</w:t>
      </w:r>
    </w:p>
    <w:p w14:paraId="105A8556" w14:textId="77777777" w:rsidR="00B76086" w:rsidRDefault="00B76086" w:rsidP="00B76086">
      <w:pPr>
        <w:pStyle w:val="NoSpacing"/>
      </w:pPr>
      <w:r>
        <w:t>In both cases the logic is very similar, and in this document we will discuss being at an acquisitions department.</w:t>
      </w:r>
    </w:p>
    <w:p w14:paraId="7BB9F8A6" w14:textId="77777777" w:rsidR="00B76086" w:rsidRDefault="00B76086" w:rsidP="00B76086">
      <w:pPr>
        <w:pStyle w:val="NoSpacing"/>
      </w:pPr>
    </w:p>
    <w:p w14:paraId="2884F24A" w14:textId="77777777" w:rsidR="00B76086" w:rsidRDefault="00B76086" w:rsidP="00B76086">
      <w:pPr>
        <w:pStyle w:val="NoSpacing"/>
      </w:pPr>
      <w:r>
        <w:rPr>
          <w:noProof/>
        </w:rPr>
        <w:drawing>
          <wp:inline distT="0" distB="0" distL="0" distR="0" wp14:anchorId="56FA19C3" wp14:editId="53BB3098">
            <wp:extent cx="457200" cy="21553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inger pointing to an important poi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57200" cy="215530"/>
                    </a:xfrm>
                    <a:prstGeom prst="rect">
                      <a:avLst/>
                    </a:prstGeom>
                  </pic:spPr>
                </pic:pic>
              </a:graphicData>
            </a:graphic>
          </wp:inline>
        </w:drawing>
      </w:r>
      <w:r>
        <w:t xml:space="preserve"> The “served libraries” of the acquisitions department determine which </w:t>
      </w:r>
      <w:proofErr w:type="gramStart"/>
      <w:r>
        <w:t>library’s</w:t>
      </w:r>
      <w:proofErr w:type="gramEnd"/>
      <w:r>
        <w:t xml:space="preserve"> or libraries’ inventory may be received while at the department.</w:t>
      </w:r>
    </w:p>
    <w:p w14:paraId="0F4FCFA3" w14:textId="77777777" w:rsidR="00B76086" w:rsidRDefault="00B76086" w:rsidP="00B76086">
      <w:pPr>
        <w:pStyle w:val="NoSpacing"/>
      </w:pPr>
    </w:p>
    <w:p w14:paraId="03DD5006" w14:textId="77777777" w:rsidR="00B76086" w:rsidRDefault="00B76086" w:rsidP="00B76086">
      <w:pPr>
        <w:pStyle w:val="NoSpacing"/>
      </w:pPr>
      <w:r>
        <w:t>For example in the situation below t</w:t>
      </w:r>
      <w:r w:rsidRPr="003248FA">
        <w:t xml:space="preserve">he </w:t>
      </w:r>
      <w:r>
        <w:t>“</w:t>
      </w:r>
      <w:r w:rsidRPr="003248FA">
        <w:t>Main library</w:t>
      </w:r>
      <w:r>
        <w:t xml:space="preserve"> Acquisitions Department”</w:t>
      </w:r>
      <w:r w:rsidRPr="003248FA">
        <w:t xml:space="preserve"> is defined to be able to </w:t>
      </w:r>
      <w:r>
        <w:t>receive inventory belonging to</w:t>
      </w:r>
      <w:r w:rsidRPr="003248FA">
        <w:t xml:space="preserve"> </w:t>
      </w:r>
      <w:r>
        <w:t>the following libraries:</w:t>
      </w:r>
    </w:p>
    <w:p w14:paraId="5C53A54F" w14:textId="77777777" w:rsidR="00B76086" w:rsidRDefault="007B5A67" w:rsidP="00B76086">
      <w:pPr>
        <w:pStyle w:val="NoSpacing"/>
        <w:numPr>
          <w:ilvl w:val="0"/>
          <w:numId w:val="11"/>
        </w:numPr>
      </w:pPr>
      <w:r>
        <w:t>The Main Library</w:t>
      </w:r>
    </w:p>
    <w:p w14:paraId="0FF9AB35" w14:textId="77777777" w:rsidR="00B76086" w:rsidRDefault="00B76086" w:rsidP="00B76086">
      <w:pPr>
        <w:pStyle w:val="NoSpacing"/>
        <w:numPr>
          <w:ilvl w:val="0"/>
          <w:numId w:val="11"/>
        </w:numPr>
      </w:pPr>
      <w:r>
        <w:t>T</w:t>
      </w:r>
      <w:r w:rsidRPr="003248FA">
        <w:t>he Art Library</w:t>
      </w:r>
    </w:p>
    <w:p w14:paraId="7829CC1E" w14:textId="77777777" w:rsidR="00B76086" w:rsidRDefault="00B76086" w:rsidP="00B76086">
      <w:pPr>
        <w:pStyle w:val="NoSpacing"/>
        <w:numPr>
          <w:ilvl w:val="0"/>
          <w:numId w:val="11"/>
        </w:numPr>
      </w:pPr>
      <w:r>
        <w:t>T</w:t>
      </w:r>
      <w:r w:rsidRPr="003248FA">
        <w:t>he Engineering Library</w:t>
      </w:r>
    </w:p>
    <w:p w14:paraId="7688A01E" w14:textId="77777777" w:rsidR="00B76086" w:rsidRDefault="00B76086" w:rsidP="00B76086">
      <w:pPr>
        <w:pStyle w:val="NoSpacing"/>
        <w:numPr>
          <w:ilvl w:val="0"/>
          <w:numId w:val="11"/>
        </w:numPr>
      </w:pPr>
      <w:r>
        <w:t>T</w:t>
      </w:r>
      <w:r w:rsidRPr="003248FA">
        <w:t>he Music Library</w:t>
      </w:r>
    </w:p>
    <w:p w14:paraId="72739D99" w14:textId="77777777" w:rsidR="00B76086" w:rsidRDefault="00B76086" w:rsidP="00B76086">
      <w:pPr>
        <w:pStyle w:val="NoSpacing"/>
      </w:pPr>
    </w:p>
    <w:p w14:paraId="5871FCC7" w14:textId="77777777" w:rsidR="00B76086" w:rsidRDefault="00B76086" w:rsidP="00B76086">
      <w:pPr>
        <w:pStyle w:val="NoSpacing"/>
      </w:pPr>
      <w:r>
        <w:t>We have navigated as follows:</w:t>
      </w:r>
    </w:p>
    <w:p w14:paraId="27FB446C" w14:textId="77777777" w:rsidR="00B76086" w:rsidRDefault="00B76086" w:rsidP="00B76086">
      <w:pPr>
        <w:pStyle w:val="NoSpacing"/>
        <w:numPr>
          <w:ilvl w:val="0"/>
          <w:numId w:val="12"/>
        </w:numPr>
      </w:pPr>
      <w:r>
        <w:t>General Configuration Menu</w:t>
      </w:r>
    </w:p>
    <w:p w14:paraId="6D7CACD0" w14:textId="77777777" w:rsidR="00B76086" w:rsidRDefault="00B76086" w:rsidP="00B76086">
      <w:pPr>
        <w:pStyle w:val="NoSpacing"/>
        <w:numPr>
          <w:ilvl w:val="0"/>
          <w:numId w:val="12"/>
        </w:numPr>
      </w:pPr>
      <w:r>
        <w:t>Choose on top left ‘Configuring Main Library’</w:t>
      </w:r>
    </w:p>
    <w:p w14:paraId="62FE8FA3" w14:textId="77777777" w:rsidR="00B76086" w:rsidRDefault="00B76086" w:rsidP="00B76086">
      <w:pPr>
        <w:pStyle w:val="NoSpacing"/>
        <w:numPr>
          <w:ilvl w:val="0"/>
          <w:numId w:val="12"/>
        </w:numPr>
      </w:pPr>
      <w:r>
        <w:t>Work Order Departments</w:t>
      </w:r>
    </w:p>
    <w:p w14:paraId="5AD94597" w14:textId="77777777" w:rsidR="00680DAA" w:rsidRDefault="00680DAA" w:rsidP="00B76086">
      <w:pPr>
        <w:pStyle w:val="NoSpacing"/>
        <w:numPr>
          <w:ilvl w:val="0"/>
          <w:numId w:val="12"/>
        </w:numPr>
      </w:pPr>
      <w:r>
        <w:rPr>
          <w:rStyle w:val="labelfield"/>
        </w:rPr>
        <w:t xml:space="preserve">Acquisitions Department (Work order type </w:t>
      </w:r>
      <w:proofErr w:type="spellStart"/>
      <w:r>
        <w:rPr>
          <w:rStyle w:val="labelfield"/>
        </w:rPr>
        <w:t>AcqWorkOrder</w:t>
      </w:r>
      <w:proofErr w:type="spellEnd"/>
      <w:r>
        <w:rPr>
          <w:rStyle w:val="labelfield"/>
        </w:rPr>
        <w:t>)</w:t>
      </w:r>
    </w:p>
    <w:p w14:paraId="5C4FA8D7" w14:textId="77777777" w:rsidR="00B76086" w:rsidRDefault="00B76086" w:rsidP="00B76086">
      <w:pPr>
        <w:pStyle w:val="NoSpacing"/>
      </w:pPr>
    </w:p>
    <w:p w14:paraId="770D2B06" w14:textId="77777777" w:rsidR="00680DAA" w:rsidRDefault="00680DAA" w:rsidP="00B76086">
      <w:pPr>
        <w:pStyle w:val="NoSpacing"/>
      </w:pPr>
    </w:p>
    <w:p w14:paraId="4F388D19" w14:textId="77777777" w:rsidR="00B76086" w:rsidRDefault="00B76086" w:rsidP="00680DAA">
      <w:pPr>
        <w:pStyle w:val="NoSpacing"/>
      </w:pPr>
      <w:r>
        <w:t xml:space="preserve">See that it is defined that the </w:t>
      </w:r>
      <w:r w:rsidR="00680DAA">
        <w:t xml:space="preserve">“Served Libraries” are the </w:t>
      </w:r>
      <w:r>
        <w:t>Main Library</w:t>
      </w:r>
      <w:r w:rsidR="00680DAA">
        <w:t xml:space="preserve">, </w:t>
      </w:r>
      <w:r>
        <w:t>the Art</w:t>
      </w:r>
      <w:r w:rsidRPr="003248FA">
        <w:t xml:space="preserve"> Library, the Engineering Library and the Music Library</w:t>
      </w:r>
      <w:r>
        <w:t xml:space="preserve">.  </w:t>
      </w:r>
    </w:p>
    <w:p w14:paraId="4789E51A" w14:textId="77777777" w:rsidR="00B76086" w:rsidRDefault="00B76086" w:rsidP="00B76086">
      <w:pPr>
        <w:pStyle w:val="NoSpacing"/>
      </w:pPr>
    </w:p>
    <w:p w14:paraId="1026FB4D" w14:textId="77777777" w:rsidR="00B76086" w:rsidRDefault="00B76086" w:rsidP="00B76086">
      <w:pPr>
        <w:pStyle w:val="NoSpacing"/>
      </w:pPr>
    </w:p>
    <w:p w14:paraId="42837F2E" w14:textId="77777777" w:rsidR="00B76086" w:rsidRDefault="00D1147F" w:rsidP="00B76086">
      <w:pPr>
        <w:pStyle w:val="NoSpacing"/>
      </w:pPr>
      <w:r>
        <w:rPr>
          <w:noProof/>
        </w:rPr>
        <w:lastRenderedPageBreak/>
        <w:drawing>
          <wp:inline distT="0" distB="0" distL="0" distR="0" wp14:anchorId="4F44207E" wp14:editId="039F637C">
            <wp:extent cx="5454650" cy="3418840"/>
            <wp:effectExtent l="19050" t="19050" r="12700" b="1016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54650" cy="3418840"/>
                    </a:xfrm>
                    <a:prstGeom prst="rect">
                      <a:avLst/>
                    </a:prstGeom>
                    <a:noFill/>
                    <a:ln>
                      <a:solidFill>
                        <a:schemeClr val="accent1"/>
                      </a:solidFill>
                    </a:ln>
                  </pic:spPr>
                </pic:pic>
              </a:graphicData>
            </a:graphic>
          </wp:inline>
        </w:drawing>
      </w:r>
    </w:p>
    <w:p w14:paraId="49B2E91E" w14:textId="77777777" w:rsidR="00B76086" w:rsidRDefault="00B76086" w:rsidP="00B76086">
      <w:pPr>
        <w:pStyle w:val="NoSpacing"/>
      </w:pPr>
    </w:p>
    <w:p w14:paraId="6FA602D4" w14:textId="77777777" w:rsidR="00B76086" w:rsidRDefault="00B76086" w:rsidP="00B76086">
      <w:pPr>
        <w:pStyle w:val="NoSpacing"/>
      </w:pPr>
    </w:p>
    <w:p w14:paraId="4EC7848A" w14:textId="77777777" w:rsidR="00B76086" w:rsidRDefault="00D1147F" w:rsidP="00D1147F">
      <w:pPr>
        <w:pStyle w:val="NoSpacing"/>
      </w:pPr>
      <w:r>
        <w:t>Sarah Khan is an operator in the Main Library Acquisitions Department</w:t>
      </w:r>
    </w:p>
    <w:p w14:paraId="57346FFB" w14:textId="77777777" w:rsidR="00B76086" w:rsidRDefault="00B76086" w:rsidP="00B76086">
      <w:pPr>
        <w:pStyle w:val="NoSpacing"/>
      </w:pPr>
    </w:p>
    <w:p w14:paraId="11B8E5D3" w14:textId="77777777" w:rsidR="00B76086" w:rsidRDefault="00D1147F" w:rsidP="00B76086">
      <w:pPr>
        <w:pStyle w:val="NoSpacing"/>
      </w:pPr>
      <w:r>
        <w:rPr>
          <w:noProof/>
        </w:rPr>
        <w:drawing>
          <wp:inline distT="0" distB="0" distL="0" distR="0" wp14:anchorId="14B83A21" wp14:editId="7A9AD2A9">
            <wp:extent cx="5486400" cy="3490595"/>
            <wp:effectExtent l="19050" t="19050" r="19050" b="146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86400" cy="3490595"/>
                    </a:xfrm>
                    <a:prstGeom prst="rect">
                      <a:avLst/>
                    </a:prstGeom>
                    <a:noFill/>
                    <a:ln>
                      <a:solidFill>
                        <a:schemeClr val="accent1"/>
                      </a:solidFill>
                    </a:ln>
                  </pic:spPr>
                </pic:pic>
              </a:graphicData>
            </a:graphic>
          </wp:inline>
        </w:drawing>
      </w:r>
    </w:p>
    <w:p w14:paraId="7D5589DE" w14:textId="77777777" w:rsidR="00B76086" w:rsidRDefault="00B76086" w:rsidP="00B76086">
      <w:pPr>
        <w:pStyle w:val="NoSpacing"/>
      </w:pPr>
    </w:p>
    <w:p w14:paraId="55970F05" w14:textId="77777777" w:rsidR="00D1147F" w:rsidRDefault="00D1147F" w:rsidP="00D1147F">
      <w:pPr>
        <w:pStyle w:val="NoSpacing"/>
      </w:pPr>
      <w:r>
        <w:t xml:space="preserve">If a user is an operator in an </w:t>
      </w:r>
      <w:r w:rsidR="00A566D2">
        <w:t>acquisitions</w:t>
      </w:r>
      <w:r>
        <w:t xml:space="preserve"> department then in the list of roles they will appear as</w:t>
      </w:r>
    </w:p>
    <w:p w14:paraId="1F2818F2" w14:textId="77777777" w:rsidR="00D1147F" w:rsidRDefault="00D1147F" w:rsidP="00D1147F">
      <w:pPr>
        <w:pStyle w:val="NoSpacing"/>
      </w:pPr>
      <w:r>
        <w:lastRenderedPageBreak/>
        <w:t>Role: Receiving Operator</w:t>
      </w:r>
    </w:p>
    <w:p w14:paraId="6051C57E" w14:textId="77777777" w:rsidR="00D1147F" w:rsidRDefault="00D1147F" w:rsidP="00D1147F">
      <w:pPr>
        <w:pStyle w:val="NoSpacing"/>
      </w:pPr>
      <w:r>
        <w:t>Scope: The Library of the acquisitions department</w:t>
      </w:r>
    </w:p>
    <w:p w14:paraId="3C125AD9" w14:textId="77777777" w:rsidR="00D1147F" w:rsidRDefault="00D1147F" w:rsidP="00D1147F">
      <w:pPr>
        <w:pStyle w:val="NoSpacing"/>
      </w:pPr>
      <w:r>
        <w:t>Service Unit: Acquisitions Department</w:t>
      </w:r>
    </w:p>
    <w:p w14:paraId="27341C23" w14:textId="77777777" w:rsidR="00D1147F" w:rsidRDefault="00D1147F" w:rsidP="00D1147F">
      <w:pPr>
        <w:pStyle w:val="NoSpacing"/>
      </w:pPr>
    </w:p>
    <w:p w14:paraId="1528345F" w14:textId="77777777" w:rsidR="00D1147F" w:rsidRDefault="00D1147F" w:rsidP="00D1147F">
      <w:pPr>
        <w:pStyle w:val="NoSpacing"/>
      </w:pPr>
      <w:r>
        <w:rPr>
          <w:noProof/>
        </w:rPr>
        <w:drawing>
          <wp:inline distT="0" distB="0" distL="0" distR="0" wp14:anchorId="209092F6" wp14:editId="65629AB1">
            <wp:extent cx="5486400" cy="254635"/>
            <wp:effectExtent l="19050" t="19050" r="19050" b="1206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86400" cy="254635"/>
                    </a:xfrm>
                    <a:prstGeom prst="rect">
                      <a:avLst/>
                    </a:prstGeom>
                    <a:noFill/>
                    <a:ln>
                      <a:solidFill>
                        <a:schemeClr val="accent1"/>
                      </a:solidFill>
                    </a:ln>
                  </pic:spPr>
                </pic:pic>
              </a:graphicData>
            </a:graphic>
          </wp:inline>
        </w:drawing>
      </w:r>
    </w:p>
    <w:p w14:paraId="426DE931" w14:textId="77777777" w:rsidR="00D1147F" w:rsidRDefault="00D1147F" w:rsidP="00D1147F">
      <w:pPr>
        <w:pStyle w:val="NoSpacing"/>
      </w:pPr>
    </w:p>
    <w:p w14:paraId="0D97DDFC" w14:textId="77777777" w:rsidR="00D1147F" w:rsidRDefault="00D1147F" w:rsidP="00D1147F">
      <w:pPr>
        <w:pStyle w:val="NoSpacing"/>
      </w:pPr>
    </w:p>
    <w:p w14:paraId="162BD694" w14:textId="77777777" w:rsidR="00D1147F" w:rsidRDefault="00D1147F" w:rsidP="00D1147F">
      <w:pPr>
        <w:pStyle w:val="NoSpacing"/>
      </w:pPr>
      <w:r>
        <w:t xml:space="preserve">The above setup means that user Sarah Khan can be at the “Main Library - Acquisitions Department” and if she does “Acquisitions &gt; Receiving and Invoicing &gt; Receive” she will be able to receive </w:t>
      </w:r>
      <w:r w:rsidR="007B5A67">
        <w:t>inventory</w:t>
      </w:r>
      <w:r>
        <w:t xml:space="preserve"> for any of the served </w:t>
      </w:r>
      <w:r w:rsidR="007B5A67">
        <w:t>library</w:t>
      </w:r>
      <w:r>
        <w:t xml:space="preserve"> in the </w:t>
      </w:r>
      <w:r w:rsidR="007B5A67">
        <w:t>“Main Library - Acquisitions Department”:</w:t>
      </w:r>
    </w:p>
    <w:p w14:paraId="2AD3B0ED" w14:textId="77777777" w:rsidR="007B5A67" w:rsidRDefault="007B5A67" w:rsidP="007B5A67">
      <w:pPr>
        <w:pStyle w:val="NoSpacing"/>
        <w:numPr>
          <w:ilvl w:val="0"/>
          <w:numId w:val="13"/>
        </w:numPr>
      </w:pPr>
      <w:r>
        <w:t>The Main Library</w:t>
      </w:r>
    </w:p>
    <w:p w14:paraId="163740AD" w14:textId="77777777" w:rsidR="007B5A67" w:rsidRDefault="007B5A67" w:rsidP="007B5A67">
      <w:pPr>
        <w:pStyle w:val="NoSpacing"/>
        <w:numPr>
          <w:ilvl w:val="0"/>
          <w:numId w:val="13"/>
        </w:numPr>
      </w:pPr>
      <w:r>
        <w:t>T</w:t>
      </w:r>
      <w:r w:rsidRPr="003248FA">
        <w:t>he Art Library</w:t>
      </w:r>
    </w:p>
    <w:p w14:paraId="60B8F8C0" w14:textId="77777777" w:rsidR="007B5A67" w:rsidRDefault="007B5A67" w:rsidP="007B5A67">
      <w:pPr>
        <w:pStyle w:val="NoSpacing"/>
        <w:numPr>
          <w:ilvl w:val="0"/>
          <w:numId w:val="13"/>
        </w:numPr>
      </w:pPr>
      <w:r>
        <w:t>T</w:t>
      </w:r>
      <w:r w:rsidRPr="003248FA">
        <w:t>he Engineering Library</w:t>
      </w:r>
    </w:p>
    <w:p w14:paraId="332BB7AA" w14:textId="77777777" w:rsidR="007B5A67" w:rsidRDefault="007B5A67" w:rsidP="007B5A67">
      <w:pPr>
        <w:pStyle w:val="NoSpacing"/>
        <w:numPr>
          <w:ilvl w:val="0"/>
          <w:numId w:val="13"/>
        </w:numPr>
      </w:pPr>
      <w:r>
        <w:t>T</w:t>
      </w:r>
      <w:r w:rsidRPr="003248FA">
        <w:t>he Music Library</w:t>
      </w:r>
    </w:p>
    <w:p w14:paraId="2F31CD66" w14:textId="77777777" w:rsidR="007B5A67" w:rsidRDefault="007B5A67" w:rsidP="00D1147F">
      <w:pPr>
        <w:pStyle w:val="NoSpacing"/>
      </w:pPr>
    </w:p>
    <w:p w14:paraId="24A19753" w14:textId="77777777" w:rsidR="007B5A67" w:rsidRDefault="007B5A67" w:rsidP="00D1147F">
      <w:pPr>
        <w:pStyle w:val="NoSpacing"/>
      </w:pPr>
    </w:p>
    <w:p w14:paraId="663719C0" w14:textId="77777777" w:rsidR="007B5A67" w:rsidRDefault="007B5A67" w:rsidP="00D1147F">
      <w:pPr>
        <w:pStyle w:val="NoSpacing"/>
      </w:pPr>
    </w:p>
    <w:p w14:paraId="6AE3C958" w14:textId="77777777" w:rsidR="00D1147F" w:rsidRDefault="00D1147F" w:rsidP="00D1147F">
      <w:pPr>
        <w:pStyle w:val="NoSpacing"/>
      </w:pPr>
      <w:r>
        <w:rPr>
          <w:noProof/>
        </w:rPr>
        <w:drawing>
          <wp:inline distT="0" distB="0" distL="0" distR="0" wp14:anchorId="12D56267" wp14:editId="1F2CC4B0">
            <wp:extent cx="4730750" cy="1454785"/>
            <wp:effectExtent l="19050" t="19050" r="12700" b="1206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30750" cy="1454785"/>
                    </a:xfrm>
                    <a:prstGeom prst="rect">
                      <a:avLst/>
                    </a:prstGeom>
                    <a:noFill/>
                    <a:ln>
                      <a:solidFill>
                        <a:schemeClr val="accent1"/>
                      </a:solidFill>
                    </a:ln>
                  </pic:spPr>
                </pic:pic>
              </a:graphicData>
            </a:graphic>
          </wp:inline>
        </w:drawing>
      </w:r>
    </w:p>
    <w:p w14:paraId="3FB012B4" w14:textId="77777777" w:rsidR="007B5A67" w:rsidRDefault="007B5A67" w:rsidP="00D1147F">
      <w:pPr>
        <w:pStyle w:val="NoSpacing"/>
      </w:pPr>
    </w:p>
    <w:p w14:paraId="60CA6638" w14:textId="77777777" w:rsidR="007B5A67" w:rsidRDefault="007B5A67" w:rsidP="00D1147F">
      <w:pPr>
        <w:pStyle w:val="NoSpacing"/>
      </w:pPr>
      <w:r>
        <w:rPr>
          <w:noProof/>
        </w:rPr>
        <w:lastRenderedPageBreak/>
        <w:drawing>
          <wp:inline distT="0" distB="0" distL="0" distR="0" wp14:anchorId="1382616B" wp14:editId="0BDFF24F">
            <wp:extent cx="5478145" cy="4095115"/>
            <wp:effectExtent l="19050" t="19050" r="27305" b="1968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78145" cy="4095115"/>
                    </a:xfrm>
                    <a:prstGeom prst="rect">
                      <a:avLst/>
                    </a:prstGeom>
                    <a:noFill/>
                    <a:ln>
                      <a:solidFill>
                        <a:schemeClr val="accent1"/>
                      </a:solidFill>
                    </a:ln>
                  </pic:spPr>
                </pic:pic>
              </a:graphicData>
            </a:graphic>
          </wp:inline>
        </w:drawing>
      </w:r>
    </w:p>
    <w:p w14:paraId="4FC06296" w14:textId="77777777" w:rsidR="00D1147F" w:rsidRDefault="00D1147F" w:rsidP="00D1147F">
      <w:pPr>
        <w:pStyle w:val="NoSpacing"/>
      </w:pPr>
    </w:p>
    <w:p w14:paraId="2292F214" w14:textId="77777777" w:rsidR="00D1147F" w:rsidRDefault="00D1147F" w:rsidP="00D1147F">
      <w:pPr>
        <w:pStyle w:val="NoSpacing"/>
      </w:pPr>
    </w:p>
    <w:p w14:paraId="7A5DBE15" w14:textId="77777777" w:rsidR="007B5A67" w:rsidRDefault="007B5A67" w:rsidP="007B5A67">
      <w:pPr>
        <w:pStyle w:val="NoSpacing"/>
      </w:pPr>
    </w:p>
    <w:p w14:paraId="79521D24" w14:textId="77777777" w:rsidR="007B5A67" w:rsidRDefault="007B5A67" w:rsidP="007B5A67">
      <w:pPr>
        <w:pStyle w:val="NoSpacing"/>
      </w:pPr>
      <w:r>
        <w:t>Another example is the situation below in which t</w:t>
      </w:r>
      <w:r w:rsidRPr="003248FA">
        <w:t xml:space="preserve">he </w:t>
      </w:r>
      <w:r>
        <w:t>“Law</w:t>
      </w:r>
      <w:r w:rsidRPr="003248FA">
        <w:t xml:space="preserve"> library</w:t>
      </w:r>
      <w:r>
        <w:t xml:space="preserve"> Acquisitions Department”</w:t>
      </w:r>
      <w:r w:rsidRPr="003248FA">
        <w:t xml:space="preserve"> is defined to be able to </w:t>
      </w:r>
      <w:r>
        <w:t>receive inventory belonging to</w:t>
      </w:r>
      <w:r w:rsidRPr="003248FA">
        <w:t xml:space="preserve"> </w:t>
      </w:r>
      <w:r>
        <w:t>only the Law Library</w:t>
      </w:r>
    </w:p>
    <w:p w14:paraId="5E34F579" w14:textId="77777777" w:rsidR="007B5A67" w:rsidRDefault="007B5A67" w:rsidP="007B5A67">
      <w:pPr>
        <w:pStyle w:val="NoSpacing"/>
      </w:pPr>
    </w:p>
    <w:p w14:paraId="30BA057D" w14:textId="77777777" w:rsidR="007B5A67" w:rsidRDefault="007B5A67" w:rsidP="007B5A67">
      <w:pPr>
        <w:pStyle w:val="NoSpacing"/>
      </w:pPr>
      <w:r>
        <w:t>We have navigated as follows:</w:t>
      </w:r>
    </w:p>
    <w:p w14:paraId="6B7160C7" w14:textId="77777777" w:rsidR="007B5A67" w:rsidRDefault="007B5A67" w:rsidP="007B5A67">
      <w:pPr>
        <w:pStyle w:val="NoSpacing"/>
        <w:numPr>
          <w:ilvl w:val="0"/>
          <w:numId w:val="12"/>
        </w:numPr>
      </w:pPr>
      <w:r>
        <w:t>General Configuration Menu</w:t>
      </w:r>
    </w:p>
    <w:p w14:paraId="779AA05C" w14:textId="77777777" w:rsidR="007B5A67" w:rsidRDefault="007B5A67" w:rsidP="007B5A67">
      <w:pPr>
        <w:pStyle w:val="NoSpacing"/>
        <w:numPr>
          <w:ilvl w:val="0"/>
          <w:numId w:val="12"/>
        </w:numPr>
      </w:pPr>
      <w:r>
        <w:t>Choose on top left ‘Configuring Law Library’</w:t>
      </w:r>
    </w:p>
    <w:p w14:paraId="0206E32F" w14:textId="77777777" w:rsidR="007B5A67" w:rsidRDefault="007B5A67" w:rsidP="007B5A67">
      <w:pPr>
        <w:pStyle w:val="NoSpacing"/>
        <w:numPr>
          <w:ilvl w:val="0"/>
          <w:numId w:val="12"/>
        </w:numPr>
      </w:pPr>
      <w:r>
        <w:t>Work Order Departments</w:t>
      </w:r>
    </w:p>
    <w:p w14:paraId="5D463BFE" w14:textId="77777777" w:rsidR="007B5A67" w:rsidRDefault="007B5A67" w:rsidP="007B5A67">
      <w:pPr>
        <w:pStyle w:val="NoSpacing"/>
        <w:numPr>
          <w:ilvl w:val="0"/>
          <w:numId w:val="12"/>
        </w:numPr>
      </w:pPr>
      <w:r>
        <w:rPr>
          <w:rStyle w:val="labelfield"/>
        </w:rPr>
        <w:t xml:space="preserve">Acquisitions Department (Work order type </w:t>
      </w:r>
      <w:proofErr w:type="spellStart"/>
      <w:r>
        <w:rPr>
          <w:rStyle w:val="labelfield"/>
        </w:rPr>
        <w:t>AcqWorkOrder</w:t>
      </w:r>
      <w:proofErr w:type="spellEnd"/>
      <w:r>
        <w:rPr>
          <w:rStyle w:val="labelfield"/>
        </w:rPr>
        <w:t>)</w:t>
      </w:r>
    </w:p>
    <w:p w14:paraId="6A7868C6" w14:textId="77777777" w:rsidR="007B5A67" w:rsidRDefault="007B5A67" w:rsidP="007B5A67">
      <w:pPr>
        <w:pStyle w:val="NoSpacing"/>
      </w:pPr>
    </w:p>
    <w:p w14:paraId="28585B2F" w14:textId="77777777" w:rsidR="007B5A67" w:rsidRDefault="007B5A67" w:rsidP="007B5A67">
      <w:pPr>
        <w:pStyle w:val="NoSpacing"/>
      </w:pPr>
    </w:p>
    <w:p w14:paraId="60AED916" w14:textId="77777777" w:rsidR="007B5A67" w:rsidRDefault="007B5A67" w:rsidP="00A566D2">
      <w:pPr>
        <w:pStyle w:val="NoSpacing"/>
      </w:pPr>
      <w:r>
        <w:t xml:space="preserve">See that it is defined that the “Served Libraries” are </w:t>
      </w:r>
      <w:r w:rsidR="00A566D2">
        <w:t>only the Law Library</w:t>
      </w:r>
    </w:p>
    <w:p w14:paraId="2ECB17FB" w14:textId="77777777" w:rsidR="00A566D2" w:rsidRDefault="00A566D2" w:rsidP="00A566D2">
      <w:pPr>
        <w:pStyle w:val="NoSpacing"/>
      </w:pPr>
    </w:p>
    <w:p w14:paraId="4063BCBE" w14:textId="77777777" w:rsidR="00A566D2" w:rsidRDefault="00A566D2" w:rsidP="00A566D2">
      <w:pPr>
        <w:pStyle w:val="NoSpacing"/>
      </w:pPr>
      <w:r>
        <w:rPr>
          <w:noProof/>
        </w:rPr>
        <w:lastRenderedPageBreak/>
        <w:drawing>
          <wp:inline distT="0" distB="0" distL="0" distR="0" wp14:anchorId="295F692A" wp14:editId="4C522708">
            <wp:extent cx="5486400" cy="3291840"/>
            <wp:effectExtent l="19050" t="19050" r="19050" b="2286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86400" cy="3291840"/>
                    </a:xfrm>
                    <a:prstGeom prst="rect">
                      <a:avLst/>
                    </a:prstGeom>
                    <a:noFill/>
                    <a:ln>
                      <a:solidFill>
                        <a:schemeClr val="accent1"/>
                      </a:solidFill>
                    </a:ln>
                  </pic:spPr>
                </pic:pic>
              </a:graphicData>
            </a:graphic>
          </wp:inline>
        </w:drawing>
      </w:r>
    </w:p>
    <w:p w14:paraId="4D4CA694" w14:textId="77777777" w:rsidR="00A566D2" w:rsidRDefault="00A566D2" w:rsidP="00A566D2">
      <w:pPr>
        <w:pStyle w:val="NoSpacing"/>
      </w:pPr>
    </w:p>
    <w:p w14:paraId="109F68A4" w14:textId="77777777" w:rsidR="00A566D2" w:rsidRDefault="00A566D2" w:rsidP="00A566D2">
      <w:pPr>
        <w:pStyle w:val="NoSpacing"/>
      </w:pPr>
    </w:p>
    <w:p w14:paraId="4E7E0C22" w14:textId="77777777" w:rsidR="00D1147F" w:rsidRDefault="00A566D2" w:rsidP="00D1147F">
      <w:pPr>
        <w:pStyle w:val="NoSpacing"/>
      </w:pPr>
      <w:r>
        <w:t>Maya Ali is an operator in the Main Library Acquisitions Department</w:t>
      </w:r>
    </w:p>
    <w:p w14:paraId="54A442CD" w14:textId="77777777" w:rsidR="00A566D2" w:rsidRDefault="00A566D2" w:rsidP="00D1147F">
      <w:pPr>
        <w:pStyle w:val="NoSpacing"/>
      </w:pPr>
    </w:p>
    <w:p w14:paraId="3CA39321" w14:textId="77777777" w:rsidR="00A566D2" w:rsidRDefault="00A566D2" w:rsidP="00D1147F">
      <w:pPr>
        <w:pStyle w:val="NoSpacing"/>
      </w:pPr>
      <w:r>
        <w:rPr>
          <w:noProof/>
        </w:rPr>
        <w:drawing>
          <wp:inline distT="0" distB="0" distL="0" distR="0" wp14:anchorId="06B02F48" wp14:editId="30129AAC">
            <wp:extent cx="5478145" cy="3172460"/>
            <wp:effectExtent l="19050" t="19050" r="27305" b="279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78145" cy="3172460"/>
                    </a:xfrm>
                    <a:prstGeom prst="rect">
                      <a:avLst/>
                    </a:prstGeom>
                    <a:noFill/>
                    <a:ln>
                      <a:solidFill>
                        <a:schemeClr val="accent1"/>
                      </a:solidFill>
                    </a:ln>
                  </pic:spPr>
                </pic:pic>
              </a:graphicData>
            </a:graphic>
          </wp:inline>
        </w:drawing>
      </w:r>
    </w:p>
    <w:p w14:paraId="6A503EF7" w14:textId="77777777" w:rsidR="00A566D2" w:rsidRDefault="00A566D2" w:rsidP="00D1147F">
      <w:pPr>
        <w:pStyle w:val="NoSpacing"/>
      </w:pPr>
    </w:p>
    <w:p w14:paraId="238C6BBD" w14:textId="77777777" w:rsidR="00A566D2" w:rsidRDefault="00A566D2" w:rsidP="00A566D2">
      <w:pPr>
        <w:pStyle w:val="NoSpacing"/>
      </w:pPr>
      <w:r>
        <w:t>If a user is an operator in an acquisitions department then in the list of roles they will appear as</w:t>
      </w:r>
    </w:p>
    <w:p w14:paraId="5D0DFB9D" w14:textId="77777777" w:rsidR="00A566D2" w:rsidRDefault="00A566D2" w:rsidP="00A566D2">
      <w:pPr>
        <w:pStyle w:val="NoSpacing"/>
      </w:pPr>
      <w:r>
        <w:t>Role: Receiving Operator</w:t>
      </w:r>
    </w:p>
    <w:p w14:paraId="7C7A9A96" w14:textId="77777777" w:rsidR="00A566D2" w:rsidRDefault="00A566D2" w:rsidP="00A566D2">
      <w:pPr>
        <w:pStyle w:val="NoSpacing"/>
      </w:pPr>
      <w:r>
        <w:t>Scope: The Library of the acquisitions department</w:t>
      </w:r>
    </w:p>
    <w:p w14:paraId="0689638F" w14:textId="77777777" w:rsidR="00A566D2" w:rsidRDefault="00A566D2" w:rsidP="00A566D2">
      <w:pPr>
        <w:pStyle w:val="NoSpacing"/>
      </w:pPr>
      <w:r>
        <w:lastRenderedPageBreak/>
        <w:t>Service Unit: Acquisitions Department</w:t>
      </w:r>
    </w:p>
    <w:p w14:paraId="5FBD0A30" w14:textId="77777777" w:rsidR="00A566D2" w:rsidRDefault="00A566D2" w:rsidP="00D1147F">
      <w:pPr>
        <w:pStyle w:val="NoSpacing"/>
      </w:pPr>
    </w:p>
    <w:p w14:paraId="723CB7D7" w14:textId="77777777" w:rsidR="00A566D2" w:rsidRDefault="00A566D2" w:rsidP="00D1147F">
      <w:pPr>
        <w:pStyle w:val="NoSpacing"/>
      </w:pPr>
      <w:r>
        <w:rPr>
          <w:noProof/>
        </w:rPr>
        <w:drawing>
          <wp:inline distT="0" distB="0" distL="0" distR="0" wp14:anchorId="54C49731" wp14:editId="14E9236C">
            <wp:extent cx="5486400" cy="238760"/>
            <wp:effectExtent l="19050" t="19050" r="19050" b="2794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86400" cy="238760"/>
                    </a:xfrm>
                    <a:prstGeom prst="rect">
                      <a:avLst/>
                    </a:prstGeom>
                    <a:noFill/>
                    <a:ln>
                      <a:solidFill>
                        <a:schemeClr val="accent1"/>
                      </a:solidFill>
                    </a:ln>
                  </pic:spPr>
                </pic:pic>
              </a:graphicData>
            </a:graphic>
          </wp:inline>
        </w:drawing>
      </w:r>
    </w:p>
    <w:p w14:paraId="1E659C3B" w14:textId="77777777" w:rsidR="0046000C" w:rsidRDefault="0046000C" w:rsidP="00D1147F">
      <w:pPr>
        <w:pStyle w:val="NoSpacing"/>
      </w:pPr>
    </w:p>
    <w:p w14:paraId="3B275747" w14:textId="77777777" w:rsidR="0046000C" w:rsidRDefault="0046000C" w:rsidP="0046000C">
      <w:pPr>
        <w:pStyle w:val="NoSpacing"/>
      </w:pPr>
      <w:r>
        <w:t>The above setup means that user Maya Ali can be at the “Law Library - Acquisitions Department” and if she does “Acquisitions &gt; Receiving and Invoicing &gt; Receive” she will be able to receive inventory only for the Law Library.</w:t>
      </w:r>
    </w:p>
    <w:p w14:paraId="6F4C2272" w14:textId="77777777" w:rsidR="0046000C" w:rsidRDefault="0046000C" w:rsidP="0046000C">
      <w:pPr>
        <w:pStyle w:val="NoSpacing"/>
      </w:pPr>
    </w:p>
    <w:p w14:paraId="56D25F95" w14:textId="77777777" w:rsidR="0046000C" w:rsidRDefault="0046000C" w:rsidP="0046000C">
      <w:pPr>
        <w:pStyle w:val="NoSpacing"/>
      </w:pPr>
    </w:p>
    <w:p w14:paraId="5FA9ADD2" w14:textId="77777777" w:rsidR="0046000C" w:rsidRDefault="0046000C" w:rsidP="0046000C">
      <w:pPr>
        <w:pStyle w:val="NoSpacing"/>
      </w:pPr>
      <w:r>
        <w:rPr>
          <w:noProof/>
        </w:rPr>
        <w:drawing>
          <wp:inline distT="0" distB="0" distL="0" distR="0" wp14:anchorId="4F0099EF" wp14:editId="651E4C66">
            <wp:extent cx="4754880" cy="1463040"/>
            <wp:effectExtent l="19050" t="19050" r="26670" b="2286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54880" cy="1463040"/>
                    </a:xfrm>
                    <a:prstGeom prst="rect">
                      <a:avLst/>
                    </a:prstGeom>
                    <a:noFill/>
                    <a:ln>
                      <a:solidFill>
                        <a:schemeClr val="accent1"/>
                      </a:solidFill>
                    </a:ln>
                  </pic:spPr>
                </pic:pic>
              </a:graphicData>
            </a:graphic>
          </wp:inline>
        </w:drawing>
      </w:r>
    </w:p>
    <w:p w14:paraId="0B7E3133" w14:textId="77777777" w:rsidR="0046000C" w:rsidRDefault="0046000C" w:rsidP="0046000C">
      <w:pPr>
        <w:pStyle w:val="NoSpacing"/>
      </w:pPr>
    </w:p>
    <w:p w14:paraId="03323830" w14:textId="77777777" w:rsidR="0046000C" w:rsidRDefault="0046000C" w:rsidP="00D1147F">
      <w:pPr>
        <w:pStyle w:val="NoSpacing"/>
      </w:pPr>
    </w:p>
    <w:p w14:paraId="38A247EE" w14:textId="77777777" w:rsidR="0046000C" w:rsidRDefault="0046000C" w:rsidP="00D1147F">
      <w:pPr>
        <w:pStyle w:val="NoSpacing"/>
      </w:pPr>
      <w:r>
        <w:rPr>
          <w:noProof/>
        </w:rPr>
        <w:drawing>
          <wp:inline distT="0" distB="0" distL="0" distR="0" wp14:anchorId="5665D871" wp14:editId="1C2D5CC4">
            <wp:extent cx="5208270" cy="3689350"/>
            <wp:effectExtent l="19050" t="19050" r="11430" b="2540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08270" cy="3689350"/>
                    </a:xfrm>
                    <a:prstGeom prst="rect">
                      <a:avLst/>
                    </a:prstGeom>
                    <a:noFill/>
                    <a:ln>
                      <a:solidFill>
                        <a:schemeClr val="accent1"/>
                      </a:solidFill>
                    </a:ln>
                  </pic:spPr>
                </pic:pic>
              </a:graphicData>
            </a:graphic>
          </wp:inline>
        </w:drawing>
      </w:r>
    </w:p>
    <w:sectPr w:rsidR="0046000C">
      <w:footerReference w:type="default" r:id="rId3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8AEA1" w14:textId="77777777" w:rsidR="007A3ED1" w:rsidRDefault="007A3ED1" w:rsidP="001B431D">
      <w:r>
        <w:separator/>
      </w:r>
    </w:p>
  </w:endnote>
  <w:endnote w:type="continuationSeparator" w:id="0">
    <w:p w14:paraId="43300098" w14:textId="77777777" w:rsidR="007A3ED1" w:rsidRDefault="007A3ED1" w:rsidP="001B4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F84DC" w14:textId="77777777" w:rsidR="001B431D" w:rsidRPr="00247F1B" w:rsidRDefault="001B431D" w:rsidP="001B431D">
    <w:pPr>
      <w:pBdr>
        <w:top w:val="single" w:sz="4" w:space="1" w:color="auto"/>
      </w:pBdr>
      <w:tabs>
        <w:tab w:val="left" w:pos="-270"/>
      </w:tabs>
      <w:jc w:val="center"/>
      <w:rPr>
        <w:rFonts w:ascii="Palatino Linotype" w:hAnsi="Palatino Linotype"/>
        <w:color w:val="000000"/>
      </w:rPr>
    </w:pPr>
    <w:r w:rsidRPr="00247F1B">
      <w:rPr>
        <w:rFonts w:ascii="Palatino Linotype" w:hAnsi="Palatino Linotype"/>
        <w:color w:val="000000"/>
      </w:rPr>
      <w:t>Ex Libris Confidential</w:t>
    </w:r>
  </w:p>
  <w:p w14:paraId="59C8AAA3" w14:textId="217D0D76" w:rsidR="001B431D" w:rsidRDefault="001B431D" w:rsidP="001B431D">
    <w:pPr>
      <w:pStyle w:val="Footer"/>
    </w:pPr>
    <w:r w:rsidRPr="00247F1B">
      <w:rPr>
        <w:rFonts w:ascii="Palatino Linotype" w:hAnsi="Palatino Linotype"/>
        <w:sz w:val="18"/>
        <w:szCs w:val="18"/>
      </w:rPr>
      <w:t>© Copyright Ex Libris Ltd, 20</w:t>
    </w:r>
    <w:r w:rsidR="002E406E">
      <w:rPr>
        <w:rFonts w:ascii="Palatino Linotype" w:hAnsi="Palatino Linotype"/>
        <w:sz w:val="18"/>
        <w:szCs w:val="18"/>
      </w:rPr>
      <w:t>2</w:t>
    </w:r>
    <w:r w:rsidRPr="00247F1B">
      <w:rPr>
        <w:rFonts w:ascii="Palatino Linotype" w:hAnsi="Palatino Linotype"/>
        <w:sz w:val="18"/>
        <w:szCs w:val="18"/>
      </w:rPr>
      <w:t>3. All rights reserved. Ex Libris is a registered trademark of Ex Libris Ltd., as are other names and marks. Other marks appearing herein may be trademarks of their respective owners.</w:t>
    </w:r>
  </w:p>
  <w:p w14:paraId="02470A55" w14:textId="77777777" w:rsidR="001B431D" w:rsidRDefault="001B4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77196" w14:textId="77777777" w:rsidR="007A3ED1" w:rsidRDefault="007A3ED1" w:rsidP="001B431D">
      <w:r>
        <w:separator/>
      </w:r>
    </w:p>
  </w:footnote>
  <w:footnote w:type="continuationSeparator" w:id="0">
    <w:p w14:paraId="375B9BCA" w14:textId="77777777" w:rsidR="007A3ED1" w:rsidRDefault="007A3ED1" w:rsidP="001B43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4F6124"/>
    <w:multiLevelType w:val="hybridMultilevel"/>
    <w:tmpl w:val="F388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25972"/>
    <w:multiLevelType w:val="hybridMultilevel"/>
    <w:tmpl w:val="72386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181DC9"/>
    <w:multiLevelType w:val="hybridMultilevel"/>
    <w:tmpl w:val="A09C0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2B0C5A"/>
    <w:multiLevelType w:val="hybridMultilevel"/>
    <w:tmpl w:val="72386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B47DF1"/>
    <w:multiLevelType w:val="hybridMultilevel"/>
    <w:tmpl w:val="72386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276FA0"/>
    <w:multiLevelType w:val="hybridMultilevel"/>
    <w:tmpl w:val="17823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8356E"/>
    <w:multiLevelType w:val="hybridMultilevel"/>
    <w:tmpl w:val="72386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060937"/>
    <w:multiLevelType w:val="hybridMultilevel"/>
    <w:tmpl w:val="4C109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D12C21"/>
    <w:multiLevelType w:val="hybridMultilevel"/>
    <w:tmpl w:val="4C109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695AF5"/>
    <w:multiLevelType w:val="hybridMultilevel"/>
    <w:tmpl w:val="61DA8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AB6B1C"/>
    <w:multiLevelType w:val="hybridMultilevel"/>
    <w:tmpl w:val="4C109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F8475F"/>
    <w:multiLevelType w:val="hybridMultilevel"/>
    <w:tmpl w:val="B4EA18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38002E"/>
    <w:multiLevelType w:val="hybridMultilevel"/>
    <w:tmpl w:val="27C62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2D4E2A"/>
    <w:multiLevelType w:val="hybridMultilevel"/>
    <w:tmpl w:val="AC84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62512799">
    <w:abstractNumId w:val="9"/>
  </w:num>
  <w:num w:numId="2" w16cid:durableId="1818910138">
    <w:abstractNumId w:val="11"/>
  </w:num>
  <w:num w:numId="3" w16cid:durableId="630091043">
    <w:abstractNumId w:val="13"/>
  </w:num>
  <w:num w:numId="4" w16cid:durableId="462191371">
    <w:abstractNumId w:val="7"/>
  </w:num>
  <w:num w:numId="5" w16cid:durableId="1738817553">
    <w:abstractNumId w:val="10"/>
  </w:num>
  <w:num w:numId="6" w16cid:durableId="1057975022">
    <w:abstractNumId w:val="0"/>
  </w:num>
  <w:num w:numId="7" w16cid:durableId="487676989">
    <w:abstractNumId w:val="1"/>
  </w:num>
  <w:num w:numId="8" w16cid:durableId="794907283">
    <w:abstractNumId w:val="12"/>
  </w:num>
  <w:num w:numId="9" w16cid:durableId="1814983738">
    <w:abstractNumId w:val="2"/>
  </w:num>
  <w:num w:numId="10" w16cid:durableId="1280451184">
    <w:abstractNumId w:val="5"/>
  </w:num>
  <w:num w:numId="11" w16cid:durableId="604774212">
    <w:abstractNumId w:val="4"/>
  </w:num>
  <w:num w:numId="12" w16cid:durableId="601111448">
    <w:abstractNumId w:val="8"/>
  </w:num>
  <w:num w:numId="13" w16cid:durableId="426849648">
    <w:abstractNumId w:val="3"/>
  </w:num>
  <w:num w:numId="14" w16cid:durableId="21944448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A62"/>
    <w:rsid w:val="00002FD7"/>
    <w:rsid w:val="0000590F"/>
    <w:rsid w:val="000174C7"/>
    <w:rsid w:val="00021A40"/>
    <w:rsid w:val="00022B22"/>
    <w:rsid w:val="00024044"/>
    <w:rsid w:val="00025577"/>
    <w:rsid w:val="0002773B"/>
    <w:rsid w:val="00031684"/>
    <w:rsid w:val="00034AF4"/>
    <w:rsid w:val="00035E40"/>
    <w:rsid w:val="00040950"/>
    <w:rsid w:val="00041826"/>
    <w:rsid w:val="0004680F"/>
    <w:rsid w:val="00051D73"/>
    <w:rsid w:val="00052E7E"/>
    <w:rsid w:val="0006225D"/>
    <w:rsid w:val="00064E96"/>
    <w:rsid w:val="000671C2"/>
    <w:rsid w:val="00073026"/>
    <w:rsid w:val="00075173"/>
    <w:rsid w:val="00076CE8"/>
    <w:rsid w:val="00077DA6"/>
    <w:rsid w:val="00081171"/>
    <w:rsid w:val="00081B7D"/>
    <w:rsid w:val="00083E8C"/>
    <w:rsid w:val="00087B13"/>
    <w:rsid w:val="00087CF9"/>
    <w:rsid w:val="000908D1"/>
    <w:rsid w:val="00090FBD"/>
    <w:rsid w:val="000918A6"/>
    <w:rsid w:val="000A1A62"/>
    <w:rsid w:val="000A61D4"/>
    <w:rsid w:val="000A6B09"/>
    <w:rsid w:val="000B166E"/>
    <w:rsid w:val="000B2635"/>
    <w:rsid w:val="000B4026"/>
    <w:rsid w:val="000C0B74"/>
    <w:rsid w:val="000C3EDE"/>
    <w:rsid w:val="000C6130"/>
    <w:rsid w:val="000C6B31"/>
    <w:rsid w:val="000D0140"/>
    <w:rsid w:val="000D21E9"/>
    <w:rsid w:val="000D2C31"/>
    <w:rsid w:val="000D5A80"/>
    <w:rsid w:val="000D6C68"/>
    <w:rsid w:val="000E1650"/>
    <w:rsid w:val="000E1D32"/>
    <w:rsid w:val="000E3875"/>
    <w:rsid w:val="000E3BDE"/>
    <w:rsid w:val="000E5AD9"/>
    <w:rsid w:val="000F07C7"/>
    <w:rsid w:val="000F516B"/>
    <w:rsid w:val="00100B77"/>
    <w:rsid w:val="00107657"/>
    <w:rsid w:val="00115CB4"/>
    <w:rsid w:val="0011787A"/>
    <w:rsid w:val="00117DA5"/>
    <w:rsid w:val="0012212A"/>
    <w:rsid w:val="00122798"/>
    <w:rsid w:val="00131BBD"/>
    <w:rsid w:val="001327FF"/>
    <w:rsid w:val="001345C5"/>
    <w:rsid w:val="00134A5E"/>
    <w:rsid w:val="001367DA"/>
    <w:rsid w:val="00142965"/>
    <w:rsid w:val="00143034"/>
    <w:rsid w:val="00145655"/>
    <w:rsid w:val="001509D9"/>
    <w:rsid w:val="00151705"/>
    <w:rsid w:val="0015224E"/>
    <w:rsid w:val="001560AC"/>
    <w:rsid w:val="00157C88"/>
    <w:rsid w:val="001606F9"/>
    <w:rsid w:val="001609C7"/>
    <w:rsid w:val="0016386F"/>
    <w:rsid w:val="00166501"/>
    <w:rsid w:val="00170137"/>
    <w:rsid w:val="0017078B"/>
    <w:rsid w:val="00174ACB"/>
    <w:rsid w:val="0017697F"/>
    <w:rsid w:val="00177465"/>
    <w:rsid w:val="00183A44"/>
    <w:rsid w:val="0018648A"/>
    <w:rsid w:val="00191A8A"/>
    <w:rsid w:val="00193DF0"/>
    <w:rsid w:val="001A1CA5"/>
    <w:rsid w:val="001A35C7"/>
    <w:rsid w:val="001A5F8C"/>
    <w:rsid w:val="001A69DD"/>
    <w:rsid w:val="001B2334"/>
    <w:rsid w:val="001B431D"/>
    <w:rsid w:val="001B48A5"/>
    <w:rsid w:val="001B4932"/>
    <w:rsid w:val="001B6D45"/>
    <w:rsid w:val="001C3928"/>
    <w:rsid w:val="001C733B"/>
    <w:rsid w:val="001D168C"/>
    <w:rsid w:val="001D4F67"/>
    <w:rsid w:val="001D5953"/>
    <w:rsid w:val="001F11ED"/>
    <w:rsid w:val="002018D7"/>
    <w:rsid w:val="00205910"/>
    <w:rsid w:val="00210B5B"/>
    <w:rsid w:val="0021327D"/>
    <w:rsid w:val="002150DC"/>
    <w:rsid w:val="00216963"/>
    <w:rsid w:val="002173BC"/>
    <w:rsid w:val="002219EE"/>
    <w:rsid w:val="002222C1"/>
    <w:rsid w:val="00224C87"/>
    <w:rsid w:val="00225A48"/>
    <w:rsid w:val="002300F3"/>
    <w:rsid w:val="00235EEE"/>
    <w:rsid w:val="00236E96"/>
    <w:rsid w:val="0023744C"/>
    <w:rsid w:val="002404DC"/>
    <w:rsid w:val="00240E82"/>
    <w:rsid w:val="00242409"/>
    <w:rsid w:val="00251E49"/>
    <w:rsid w:val="0025687B"/>
    <w:rsid w:val="00262104"/>
    <w:rsid w:val="002637AC"/>
    <w:rsid w:val="002665DD"/>
    <w:rsid w:val="00273724"/>
    <w:rsid w:val="00276464"/>
    <w:rsid w:val="00277A00"/>
    <w:rsid w:val="00281600"/>
    <w:rsid w:val="0028229A"/>
    <w:rsid w:val="00287479"/>
    <w:rsid w:val="0029161E"/>
    <w:rsid w:val="00293CA8"/>
    <w:rsid w:val="00294755"/>
    <w:rsid w:val="00294833"/>
    <w:rsid w:val="00294DC7"/>
    <w:rsid w:val="002A1F46"/>
    <w:rsid w:val="002A28AE"/>
    <w:rsid w:val="002A2E05"/>
    <w:rsid w:val="002A2E3C"/>
    <w:rsid w:val="002A2F69"/>
    <w:rsid w:val="002A5064"/>
    <w:rsid w:val="002B2353"/>
    <w:rsid w:val="002B30C4"/>
    <w:rsid w:val="002B4A3C"/>
    <w:rsid w:val="002B5B29"/>
    <w:rsid w:val="002C0BDD"/>
    <w:rsid w:val="002C2034"/>
    <w:rsid w:val="002C25A2"/>
    <w:rsid w:val="002C3DBA"/>
    <w:rsid w:val="002D3999"/>
    <w:rsid w:val="002D3B69"/>
    <w:rsid w:val="002D40A4"/>
    <w:rsid w:val="002D71F3"/>
    <w:rsid w:val="002E406E"/>
    <w:rsid w:val="002E6219"/>
    <w:rsid w:val="002E7996"/>
    <w:rsid w:val="002F086E"/>
    <w:rsid w:val="002F561C"/>
    <w:rsid w:val="002F72D9"/>
    <w:rsid w:val="00303652"/>
    <w:rsid w:val="0030677D"/>
    <w:rsid w:val="00307812"/>
    <w:rsid w:val="003103E2"/>
    <w:rsid w:val="003115EF"/>
    <w:rsid w:val="0031192F"/>
    <w:rsid w:val="00311BB0"/>
    <w:rsid w:val="00313362"/>
    <w:rsid w:val="00321414"/>
    <w:rsid w:val="00322780"/>
    <w:rsid w:val="003248FA"/>
    <w:rsid w:val="00331A36"/>
    <w:rsid w:val="0033483B"/>
    <w:rsid w:val="00342A1A"/>
    <w:rsid w:val="00342C19"/>
    <w:rsid w:val="00345D35"/>
    <w:rsid w:val="00345D66"/>
    <w:rsid w:val="0035273D"/>
    <w:rsid w:val="003530D8"/>
    <w:rsid w:val="00354144"/>
    <w:rsid w:val="00354C9C"/>
    <w:rsid w:val="00354CA8"/>
    <w:rsid w:val="0035699C"/>
    <w:rsid w:val="003578AA"/>
    <w:rsid w:val="003622DB"/>
    <w:rsid w:val="003643CF"/>
    <w:rsid w:val="00375D88"/>
    <w:rsid w:val="0037779C"/>
    <w:rsid w:val="003809AB"/>
    <w:rsid w:val="00383F75"/>
    <w:rsid w:val="003857F1"/>
    <w:rsid w:val="00390AD3"/>
    <w:rsid w:val="003931AE"/>
    <w:rsid w:val="0039715F"/>
    <w:rsid w:val="003974BC"/>
    <w:rsid w:val="003A3853"/>
    <w:rsid w:val="003A638C"/>
    <w:rsid w:val="003A7455"/>
    <w:rsid w:val="003B0591"/>
    <w:rsid w:val="003B412A"/>
    <w:rsid w:val="003B48D5"/>
    <w:rsid w:val="003B637B"/>
    <w:rsid w:val="003C0595"/>
    <w:rsid w:val="003C074F"/>
    <w:rsid w:val="003C3081"/>
    <w:rsid w:val="003C55A0"/>
    <w:rsid w:val="003C6B4B"/>
    <w:rsid w:val="003C745F"/>
    <w:rsid w:val="003C7B96"/>
    <w:rsid w:val="003D40D7"/>
    <w:rsid w:val="003D41B8"/>
    <w:rsid w:val="003E10F0"/>
    <w:rsid w:val="003E5068"/>
    <w:rsid w:val="003F01CB"/>
    <w:rsid w:val="003F0A11"/>
    <w:rsid w:val="003F2D41"/>
    <w:rsid w:val="003F38BB"/>
    <w:rsid w:val="003F7B6B"/>
    <w:rsid w:val="00401D79"/>
    <w:rsid w:val="00402A75"/>
    <w:rsid w:val="0040674A"/>
    <w:rsid w:val="00414281"/>
    <w:rsid w:val="00417172"/>
    <w:rsid w:val="00423192"/>
    <w:rsid w:val="00430ED5"/>
    <w:rsid w:val="00432900"/>
    <w:rsid w:val="004341CB"/>
    <w:rsid w:val="00437288"/>
    <w:rsid w:val="004414FF"/>
    <w:rsid w:val="004435C4"/>
    <w:rsid w:val="0044490A"/>
    <w:rsid w:val="004450E7"/>
    <w:rsid w:val="00445865"/>
    <w:rsid w:val="00446A89"/>
    <w:rsid w:val="00447167"/>
    <w:rsid w:val="00447E16"/>
    <w:rsid w:val="00451FA3"/>
    <w:rsid w:val="00452414"/>
    <w:rsid w:val="0046000C"/>
    <w:rsid w:val="00460D0E"/>
    <w:rsid w:val="004632F8"/>
    <w:rsid w:val="00467FAB"/>
    <w:rsid w:val="00472892"/>
    <w:rsid w:val="004730FE"/>
    <w:rsid w:val="00473CDC"/>
    <w:rsid w:val="00475399"/>
    <w:rsid w:val="00483E93"/>
    <w:rsid w:val="004902A1"/>
    <w:rsid w:val="00492AAE"/>
    <w:rsid w:val="004973FA"/>
    <w:rsid w:val="00497440"/>
    <w:rsid w:val="004A271D"/>
    <w:rsid w:val="004A7511"/>
    <w:rsid w:val="004B31D3"/>
    <w:rsid w:val="004B4935"/>
    <w:rsid w:val="004B4F13"/>
    <w:rsid w:val="004C15BF"/>
    <w:rsid w:val="004C189F"/>
    <w:rsid w:val="004C3314"/>
    <w:rsid w:val="004C5E76"/>
    <w:rsid w:val="004D0431"/>
    <w:rsid w:val="004D3F1F"/>
    <w:rsid w:val="004D494B"/>
    <w:rsid w:val="004D6630"/>
    <w:rsid w:val="004F2780"/>
    <w:rsid w:val="004F2A6C"/>
    <w:rsid w:val="004F62F7"/>
    <w:rsid w:val="00502740"/>
    <w:rsid w:val="005047E8"/>
    <w:rsid w:val="00506C20"/>
    <w:rsid w:val="005173BC"/>
    <w:rsid w:val="0052124A"/>
    <w:rsid w:val="00522B17"/>
    <w:rsid w:val="00522F94"/>
    <w:rsid w:val="00524A18"/>
    <w:rsid w:val="0052626C"/>
    <w:rsid w:val="00526751"/>
    <w:rsid w:val="00527317"/>
    <w:rsid w:val="005340B8"/>
    <w:rsid w:val="00536B5E"/>
    <w:rsid w:val="00541912"/>
    <w:rsid w:val="005433BE"/>
    <w:rsid w:val="00550070"/>
    <w:rsid w:val="005504EC"/>
    <w:rsid w:val="005527BC"/>
    <w:rsid w:val="0055389F"/>
    <w:rsid w:val="00554A4E"/>
    <w:rsid w:val="00554DB8"/>
    <w:rsid w:val="005627DE"/>
    <w:rsid w:val="0056329F"/>
    <w:rsid w:val="00563F9C"/>
    <w:rsid w:val="00567568"/>
    <w:rsid w:val="00567666"/>
    <w:rsid w:val="00567E45"/>
    <w:rsid w:val="005713B4"/>
    <w:rsid w:val="00572CCF"/>
    <w:rsid w:val="0057382F"/>
    <w:rsid w:val="00576C0E"/>
    <w:rsid w:val="00576C6A"/>
    <w:rsid w:val="00576E8C"/>
    <w:rsid w:val="00580190"/>
    <w:rsid w:val="005822D0"/>
    <w:rsid w:val="00591FFD"/>
    <w:rsid w:val="00594CC3"/>
    <w:rsid w:val="005966B7"/>
    <w:rsid w:val="005A11EE"/>
    <w:rsid w:val="005A51AD"/>
    <w:rsid w:val="005A54F0"/>
    <w:rsid w:val="005A5D52"/>
    <w:rsid w:val="005A5F99"/>
    <w:rsid w:val="005B0CBF"/>
    <w:rsid w:val="005B0DDB"/>
    <w:rsid w:val="005B40F8"/>
    <w:rsid w:val="005D0F95"/>
    <w:rsid w:val="005D5174"/>
    <w:rsid w:val="005D5680"/>
    <w:rsid w:val="005D5A41"/>
    <w:rsid w:val="005D68F3"/>
    <w:rsid w:val="005D69D0"/>
    <w:rsid w:val="005F1471"/>
    <w:rsid w:val="005F1BB4"/>
    <w:rsid w:val="005F1EBC"/>
    <w:rsid w:val="005F2652"/>
    <w:rsid w:val="005F2971"/>
    <w:rsid w:val="005F56B9"/>
    <w:rsid w:val="005F651E"/>
    <w:rsid w:val="006009EA"/>
    <w:rsid w:val="00606F81"/>
    <w:rsid w:val="00611047"/>
    <w:rsid w:val="00617D79"/>
    <w:rsid w:val="00620129"/>
    <w:rsid w:val="00627029"/>
    <w:rsid w:val="0063109C"/>
    <w:rsid w:val="00633554"/>
    <w:rsid w:val="0063523C"/>
    <w:rsid w:val="00636996"/>
    <w:rsid w:val="00637CBD"/>
    <w:rsid w:val="006417ED"/>
    <w:rsid w:val="006421A8"/>
    <w:rsid w:val="00642269"/>
    <w:rsid w:val="00642C83"/>
    <w:rsid w:val="0064569A"/>
    <w:rsid w:val="00645C63"/>
    <w:rsid w:val="0064659F"/>
    <w:rsid w:val="00646A7C"/>
    <w:rsid w:val="00653590"/>
    <w:rsid w:val="0065388A"/>
    <w:rsid w:val="00653E7D"/>
    <w:rsid w:val="00654827"/>
    <w:rsid w:val="0065484E"/>
    <w:rsid w:val="00657E81"/>
    <w:rsid w:val="00660CCB"/>
    <w:rsid w:val="00662B7B"/>
    <w:rsid w:val="00663D2F"/>
    <w:rsid w:val="00665C50"/>
    <w:rsid w:val="006723C4"/>
    <w:rsid w:val="00673B77"/>
    <w:rsid w:val="00675331"/>
    <w:rsid w:val="006777ED"/>
    <w:rsid w:val="00680DAA"/>
    <w:rsid w:val="00681F68"/>
    <w:rsid w:val="006842CC"/>
    <w:rsid w:val="006854E2"/>
    <w:rsid w:val="00686891"/>
    <w:rsid w:val="00686945"/>
    <w:rsid w:val="006A1434"/>
    <w:rsid w:val="006A1A2F"/>
    <w:rsid w:val="006A6F4C"/>
    <w:rsid w:val="006B2DA2"/>
    <w:rsid w:val="006B3923"/>
    <w:rsid w:val="006B4235"/>
    <w:rsid w:val="006C0C50"/>
    <w:rsid w:val="006C2997"/>
    <w:rsid w:val="006C2E93"/>
    <w:rsid w:val="006C37EC"/>
    <w:rsid w:val="006C4287"/>
    <w:rsid w:val="006D3F69"/>
    <w:rsid w:val="006D7194"/>
    <w:rsid w:val="006D77CF"/>
    <w:rsid w:val="006F0B9F"/>
    <w:rsid w:val="006F100A"/>
    <w:rsid w:val="006F2DF0"/>
    <w:rsid w:val="006F2EF9"/>
    <w:rsid w:val="006F5D6C"/>
    <w:rsid w:val="006F69DA"/>
    <w:rsid w:val="00704AD7"/>
    <w:rsid w:val="00707061"/>
    <w:rsid w:val="00714574"/>
    <w:rsid w:val="00714752"/>
    <w:rsid w:val="00715B75"/>
    <w:rsid w:val="0071622C"/>
    <w:rsid w:val="00720148"/>
    <w:rsid w:val="007215A7"/>
    <w:rsid w:val="00722137"/>
    <w:rsid w:val="007243C2"/>
    <w:rsid w:val="00725396"/>
    <w:rsid w:val="00730440"/>
    <w:rsid w:val="0073726F"/>
    <w:rsid w:val="007404F0"/>
    <w:rsid w:val="0074157D"/>
    <w:rsid w:val="0074202F"/>
    <w:rsid w:val="00742BA1"/>
    <w:rsid w:val="00743F11"/>
    <w:rsid w:val="00745569"/>
    <w:rsid w:val="007509AB"/>
    <w:rsid w:val="0075405B"/>
    <w:rsid w:val="00754202"/>
    <w:rsid w:val="00754F7A"/>
    <w:rsid w:val="00756830"/>
    <w:rsid w:val="00761203"/>
    <w:rsid w:val="00761DE0"/>
    <w:rsid w:val="00772B1D"/>
    <w:rsid w:val="00775DE9"/>
    <w:rsid w:val="00781A1D"/>
    <w:rsid w:val="00781FF8"/>
    <w:rsid w:val="00782A0B"/>
    <w:rsid w:val="00790615"/>
    <w:rsid w:val="0079598A"/>
    <w:rsid w:val="00795D08"/>
    <w:rsid w:val="00796496"/>
    <w:rsid w:val="0079755E"/>
    <w:rsid w:val="007A3ED1"/>
    <w:rsid w:val="007A4CC8"/>
    <w:rsid w:val="007A7D42"/>
    <w:rsid w:val="007B5A67"/>
    <w:rsid w:val="007B5AAC"/>
    <w:rsid w:val="007B6450"/>
    <w:rsid w:val="007C0291"/>
    <w:rsid w:val="007C06EA"/>
    <w:rsid w:val="007C0876"/>
    <w:rsid w:val="007C3F73"/>
    <w:rsid w:val="007C64BF"/>
    <w:rsid w:val="007D11F8"/>
    <w:rsid w:val="007D1C59"/>
    <w:rsid w:val="007D39D3"/>
    <w:rsid w:val="007D61AE"/>
    <w:rsid w:val="007D6DDA"/>
    <w:rsid w:val="007D6DE8"/>
    <w:rsid w:val="007D7A84"/>
    <w:rsid w:val="007E4DA7"/>
    <w:rsid w:val="007E67A6"/>
    <w:rsid w:val="007E7674"/>
    <w:rsid w:val="007F0044"/>
    <w:rsid w:val="007F0668"/>
    <w:rsid w:val="007F55A1"/>
    <w:rsid w:val="00800F64"/>
    <w:rsid w:val="00801DD3"/>
    <w:rsid w:val="00803FB5"/>
    <w:rsid w:val="00806645"/>
    <w:rsid w:val="00806D23"/>
    <w:rsid w:val="008071DC"/>
    <w:rsid w:val="008114C7"/>
    <w:rsid w:val="00811C7B"/>
    <w:rsid w:val="00811CE0"/>
    <w:rsid w:val="008126F4"/>
    <w:rsid w:val="0081530F"/>
    <w:rsid w:val="0082047E"/>
    <w:rsid w:val="00823EAE"/>
    <w:rsid w:val="00826298"/>
    <w:rsid w:val="008365F0"/>
    <w:rsid w:val="00836880"/>
    <w:rsid w:val="0083730F"/>
    <w:rsid w:val="00837D0D"/>
    <w:rsid w:val="00840BEA"/>
    <w:rsid w:val="0084153F"/>
    <w:rsid w:val="008421A8"/>
    <w:rsid w:val="0084630A"/>
    <w:rsid w:val="00847729"/>
    <w:rsid w:val="00855476"/>
    <w:rsid w:val="008562C2"/>
    <w:rsid w:val="0085762C"/>
    <w:rsid w:val="00857C4C"/>
    <w:rsid w:val="00860900"/>
    <w:rsid w:val="00865FD6"/>
    <w:rsid w:val="008671F9"/>
    <w:rsid w:val="008722DC"/>
    <w:rsid w:val="008739E6"/>
    <w:rsid w:val="008751F9"/>
    <w:rsid w:val="008765E1"/>
    <w:rsid w:val="00881D82"/>
    <w:rsid w:val="0088222B"/>
    <w:rsid w:val="00883D72"/>
    <w:rsid w:val="00890EF5"/>
    <w:rsid w:val="008A0304"/>
    <w:rsid w:val="008A1974"/>
    <w:rsid w:val="008A768B"/>
    <w:rsid w:val="008B0598"/>
    <w:rsid w:val="008B29A1"/>
    <w:rsid w:val="008B340F"/>
    <w:rsid w:val="008B5142"/>
    <w:rsid w:val="008B70CA"/>
    <w:rsid w:val="008C0F20"/>
    <w:rsid w:val="008C477C"/>
    <w:rsid w:val="008C7BD8"/>
    <w:rsid w:val="008D0E09"/>
    <w:rsid w:val="008D51F3"/>
    <w:rsid w:val="008E5F5B"/>
    <w:rsid w:val="008E7C72"/>
    <w:rsid w:val="008F4ECE"/>
    <w:rsid w:val="008F5004"/>
    <w:rsid w:val="008F5685"/>
    <w:rsid w:val="008F568C"/>
    <w:rsid w:val="008F69DE"/>
    <w:rsid w:val="00900CE8"/>
    <w:rsid w:val="00902045"/>
    <w:rsid w:val="00907425"/>
    <w:rsid w:val="00911023"/>
    <w:rsid w:val="00914BC3"/>
    <w:rsid w:val="00917967"/>
    <w:rsid w:val="009406E0"/>
    <w:rsid w:val="00940D1B"/>
    <w:rsid w:val="009410E2"/>
    <w:rsid w:val="00941CC8"/>
    <w:rsid w:val="009421AB"/>
    <w:rsid w:val="00945EF3"/>
    <w:rsid w:val="009468B8"/>
    <w:rsid w:val="00947C51"/>
    <w:rsid w:val="0095029A"/>
    <w:rsid w:val="00954209"/>
    <w:rsid w:val="00954DDE"/>
    <w:rsid w:val="00955942"/>
    <w:rsid w:val="009653E6"/>
    <w:rsid w:val="00965665"/>
    <w:rsid w:val="00965FA3"/>
    <w:rsid w:val="00973BE3"/>
    <w:rsid w:val="00974CFF"/>
    <w:rsid w:val="00986B62"/>
    <w:rsid w:val="009A4097"/>
    <w:rsid w:val="009A5F3F"/>
    <w:rsid w:val="009B09BE"/>
    <w:rsid w:val="009B184A"/>
    <w:rsid w:val="009B2468"/>
    <w:rsid w:val="009B494A"/>
    <w:rsid w:val="009C1A4B"/>
    <w:rsid w:val="009C35B2"/>
    <w:rsid w:val="009C3F9B"/>
    <w:rsid w:val="009C56BD"/>
    <w:rsid w:val="009C5FFC"/>
    <w:rsid w:val="009C600A"/>
    <w:rsid w:val="009D0A15"/>
    <w:rsid w:val="009D1C26"/>
    <w:rsid w:val="009D1D79"/>
    <w:rsid w:val="009D2F52"/>
    <w:rsid w:val="009D457D"/>
    <w:rsid w:val="009D503E"/>
    <w:rsid w:val="009E3BA1"/>
    <w:rsid w:val="009E5D77"/>
    <w:rsid w:val="009E71E9"/>
    <w:rsid w:val="009F505B"/>
    <w:rsid w:val="00A02596"/>
    <w:rsid w:val="00A02870"/>
    <w:rsid w:val="00A03136"/>
    <w:rsid w:val="00A05F54"/>
    <w:rsid w:val="00A06FC2"/>
    <w:rsid w:val="00A119BD"/>
    <w:rsid w:val="00A21E01"/>
    <w:rsid w:val="00A2348A"/>
    <w:rsid w:val="00A25427"/>
    <w:rsid w:val="00A27958"/>
    <w:rsid w:val="00A33D8F"/>
    <w:rsid w:val="00A34E36"/>
    <w:rsid w:val="00A40258"/>
    <w:rsid w:val="00A439C1"/>
    <w:rsid w:val="00A43DAE"/>
    <w:rsid w:val="00A477EE"/>
    <w:rsid w:val="00A533CE"/>
    <w:rsid w:val="00A549E0"/>
    <w:rsid w:val="00A564ED"/>
    <w:rsid w:val="00A566D2"/>
    <w:rsid w:val="00A601FC"/>
    <w:rsid w:val="00A60569"/>
    <w:rsid w:val="00A62E99"/>
    <w:rsid w:val="00A65F75"/>
    <w:rsid w:val="00A665B4"/>
    <w:rsid w:val="00A66AD2"/>
    <w:rsid w:val="00A73D31"/>
    <w:rsid w:val="00A76A54"/>
    <w:rsid w:val="00A7730B"/>
    <w:rsid w:val="00A814B8"/>
    <w:rsid w:val="00A843A8"/>
    <w:rsid w:val="00A84D40"/>
    <w:rsid w:val="00A852CD"/>
    <w:rsid w:val="00A857A6"/>
    <w:rsid w:val="00A86CB4"/>
    <w:rsid w:val="00A87932"/>
    <w:rsid w:val="00A87CD0"/>
    <w:rsid w:val="00A93C0A"/>
    <w:rsid w:val="00A94ADC"/>
    <w:rsid w:val="00A963F2"/>
    <w:rsid w:val="00A975D5"/>
    <w:rsid w:val="00AA04CB"/>
    <w:rsid w:val="00AA08E7"/>
    <w:rsid w:val="00AA1103"/>
    <w:rsid w:val="00AA3D22"/>
    <w:rsid w:val="00AA7B06"/>
    <w:rsid w:val="00AB05D9"/>
    <w:rsid w:val="00AB08C8"/>
    <w:rsid w:val="00AB6F24"/>
    <w:rsid w:val="00AC2A41"/>
    <w:rsid w:val="00AC2AB4"/>
    <w:rsid w:val="00AC5FDE"/>
    <w:rsid w:val="00AC60C7"/>
    <w:rsid w:val="00AD04E2"/>
    <w:rsid w:val="00AD29B1"/>
    <w:rsid w:val="00AD397C"/>
    <w:rsid w:val="00AD677C"/>
    <w:rsid w:val="00AE15DE"/>
    <w:rsid w:val="00AE1EF6"/>
    <w:rsid w:val="00AE2FDC"/>
    <w:rsid w:val="00AE6225"/>
    <w:rsid w:val="00AE74CE"/>
    <w:rsid w:val="00AF43CF"/>
    <w:rsid w:val="00AF4510"/>
    <w:rsid w:val="00B00BC5"/>
    <w:rsid w:val="00B01702"/>
    <w:rsid w:val="00B02CD0"/>
    <w:rsid w:val="00B05109"/>
    <w:rsid w:val="00B05309"/>
    <w:rsid w:val="00B073C2"/>
    <w:rsid w:val="00B103C2"/>
    <w:rsid w:val="00B15871"/>
    <w:rsid w:val="00B15ED2"/>
    <w:rsid w:val="00B168E2"/>
    <w:rsid w:val="00B22D08"/>
    <w:rsid w:val="00B2536E"/>
    <w:rsid w:val="00B255C9"/>
    <w:rsid w:val="00B26495"/>
    <w:rsid w:val="00B41CB3"/>
    <w:rsid w:val="00B51EFC"/>
    <w:rsid w:val="00B55219"/>
    <w:rsid w:val="00B62DAF"/>
    <w:rsid w:val="00B64927"/>
    <w:rsid w:val="00B676F5"/>
    <w:rsid w:val="00B67F15"/>
    <w:rsid w:val="00B705BE"/>
    <w:rsid w:val="00B71171"/>
    <w:rsid w:val="00B74320"/>
    <w:rsid w:val="00B745C4"/>
    <w:rsid w:val="00B75664"/>
    <w:rsid w:val="00B76086"/>
    <w:rsid w:val="00B80433"/>
    <w:rsid w:val="00B84BC8"/>
    <w:rsid w:val="00B87A7D"/>
    <w:rsid w:val="00B91B2D"/>
    <w:rsid w:val="00B92B9E"/>
    <w:rsid w:val="00B93DCB"/>
    <w:rsid w:val="00B94EF7"/>
    <w:rsid w:val="00B96B4D"/>
    <w:rsid w:val="00B9740D"/>
    <w:rsid w:val="00B97478"/>
    <w:rsid w:val="00BA5F88"/>
    <w:rsid w:val="00BA6186"/>
    <w:rsid w:val="00BB311C"/>
    <w:rsid w:val="00BB399C"/>
    <w:rsid w:val="00BC23F5"/>
    <w:rsid w:val="00BC2A74"/>
    <w:rsid w:val="00BC42CB"/>
    <w:rsid w:val="00BC4C03"/>
    <w:rsid w:val="00BC5200"/>
    <w:rsid w:val="00BD3118"/>
    <w:rsid w:val="00BD596C"/>
    <w:rsid w:val="00BE189B"/>
    <w:rsid w:val="00BE4A6F"/>
    <w:rsid w:val="00BE4B82"/>
    <w:rsid w:val="00BF4E9E"/>
    <w:rsid w:val="00BF5F76"/>
    <w:rsid w:val="00C02247"/>
    <w:rsid w:val="00C1286C"/>
    <w:rsid w:val="00C15292"/>
    <w:rsid w:val="00C206D6"/>
    <w:rsid w:val="00C21DB8"/>
    <w:rsid w:val="00C2286B"/>
    <w:rsid w:val="00C276DE"/>
    <w:rsid w:val="00C32F7A"/>
    <w:rsid w:val="00C36EFD"/>
    <w:rsid w:val="00C4361F"/>
    <w:rsid w:val="00C461A5"/>
    <w:rsid w:val="00C524CA"/>
    <w:rsid w:val="00C52960"/>
    <w:rsid w:val="00C551FA"/>
    <w:rsid w:val="00C563B8"/>
    <w:rsid w:val="00C56EE1"/>
    <w:rsid w:val="00C56F8C"/>
    <w:rsid w:val="00C72FFB"/>
    <w:rsid w:val="00C75BA8"/>
    <w:rsid w:val="00C761AA"/>
    <w:rsid w:val="00C90854"/>
    <w:rsid w:val="00C91A3C"/>
    <w:rsid w:val="00C9427E"/>
    <w:rsid w:val="00CA0DF7"/>
    <w:rsid w:val="00CA472C"/>
    <w:rsid w:val="00CA69D0"/>
    <w:rsid w:val="00CB2F13"/>
    <w:rsid w:val="00CB4F04"/>
    <w:rsid w:val="00CB607B"/>
    <w:rsid w:val="00CB72DE"/>
    <w:rsid w:val="00CC1665"/>
    <w:rsid w:val="00CC1AC1"/>
    <w:rsid w:val="00CC26AD"/>
    <w:rsid w:val="00CC6854"/>
    <w:rsid w:val="00CD1B80"/>
    <w:rsid w:val="00CD510A"/>
    <w:rsid w:val="00CD7827"/>
    <w:rsid w:val="00CE10EF"/>
    <w:rsid w:val="00CE22A0"/>
    <w:rsid w:val="00CE3344"/>
    <w:rsid w:val="00CE3986"/>
    <w:rsid w:val="00CF187B"/>
    <w:rsid w:val="00CF2593"/>
    <w:rsid w:val="00CF4E11"/>
    <w:rsid w:val="00D00BC9"/>
    <w:rsid w:val="00D0787B"/>
    <w:rsid w:val="00D07F1B"/>
    <w:rsid w:val="00D1147F"/>
    <w:rsid w:val="00D11FF1"/>
    <w:rsid w:val="00D139B6"/>
    <w:rsid w:val="00D15D2D"/>
    <w:rsid w:val="00D16389"/>
    <w:rsid w:val="00D17E5C"/>
    <w:rsid w:val="00D212A8"/>
    <w:rsid w:val="00D2211E"/>
    <w:rsid w:val="00D24B1B"/>
    <w:rsid w:val="00D3045A"/>
    <w:rsid w:val="00D33EA6"/>
    <w:rsid w:val="00D37AC4"/>
    <w:rsid w:val="00D456BD"/>
    <w:rsid w:val="00D459C5"/>
    <w:rsid w:val="00D469ED"/>
    <w:rsid w:val="00D47835"/>
    <w:rsid w:val="00D54336"/>
    <w:rsid w:val="00D546B3"/>
    <w:rsid w:val="00D570A8"/>
    <w:rsid w:val="00D61075"/>
    <w:rsid w:val="00D61271"/>
    <w:rsid w:val="00D649FA"/>
    <w:rsid w:val="00D65A36"/>
    <w:rsid w:val="00D70D5F"/>
    <w:rsid w:val="00D72951"/>
    <w:rsid w:val="00D7694B"/>
    <w:rsid w:val="00D76A1E"/>
    <w:rsid w:val="00D83C10"/>
    <w:rsid w:val="00D83DE3"/>
    <w:rsid w:val="00D8424C"/>
    <w:rsid w:val="00D85079"/>
    <w:rsid w:val="00D861FF"/>
    <w:rsid w:val="00D90A78"/>
    <w:rsid w:val="00D91A5D"/>
    <w:rsid w:val="00D96604"/>
    <w:rsid w:val="00DA315E"/>
    <w:rsid w:val="00DA3D28"/>
    <w:rsid w:val="00DA5DF5"/>
    <w:rsid w:val="00DB15A9"/>
    <w:rsid w:val="00DB1A38"/>
    <w:rsid w:val="00DB28C8"/>
    <w:rsid w:val="00DB5FCC"/>
    <w:rsid w:val="00DB6299"/>
    <w:rsid w:val="00DB7B31"/>
    <w:rsid w:val="00DC3DB4"/>
    <w:rsid w:val="00DD113F"/>
    <w:rsid w:val="00DD14D1"/>
    <w:rsid w:val="00DD40D1"/>
    <w:rsid w:val="00DE617F"/>
    <w:rsid w:val="00DE771D"/>
    <w:rsid w:val="00DF0462"/>
    <w:rsid w:val="00DF2328"/>
    <w:rsid w:val="00DF4757"/>
    <w:rsid w:val="00DF7A58"/>
    <w:rsid w:val="00E00315"/>
    <w:rsid w:val="00E007EE"/>
    <w:rsid w:val="00E02E15"/>
    <w:rsid w:val="00E21876"/>
    <w:rsid w:val="00E2509A"/>
    <w:rsid w:val="00E26453"/>
    <w:rsid w:val="00E302AD"/>
    <w:rsid w:val="00E3486F"/>
    <w:rsid w:val="00E350BA"/>
    <w:rsid w:val="00E37CAB"/>
    <w:rsid w:val="00E40C72"/>
    <w:rsid w:val="00E44287"/>
    <w:rsid w:val="00E44F07"/>
    <w:rsid w:val="00E5067A"/>
    <w:rsid w:val="00E51305"/>
    <w:rsid w:val="00E52042"/>
    <w:rsid w:val="00E53FB7"/>
    <w:rsid w:val="00E55B62"/>
    <w:rsid w:val="00E563DA"/>
    <w:rsid w:val="00E5714D"/>
    <w:rsid w:val="00E60747"/>
    <w:rsid w:val="00E6115A"/>
    <w:rsid w:val="00E6138E"/>
    <w:rsid w:val="00E62D2A"/>
    <w:rsid w:val="00E6312C"/>
    <w:rsid w:val="00E66533"/>
    <w:rsid w:val="00E70D1D"/>
    <w:rsid w:val="00E7361D"/>
    <w:rsid w:val="00E75740"/>
    <w:rsid w:val="00E7587D"/>
    <w:rsid w:val="00E76925"/>
    <w:rsid w:val="00E77CCB"/>
    <w:rsid w:val="00E9794F"/>
    <w:rsid w:val="00EA5454"/>
    <w:rsid w:val="00EA7336"/>
    <w:rsid w:val="00EB1D31"/>
    <w:rsid w:val="00EB27DE"/>
    <w:rsid w:val="00EB6879"/>
    <w:rsid w:val="00ED01C1"/>
    <w:rsid w:val="00ED1853"/>
    <w:rsid w:val="00ED4C16"/>
    <w:rsid w:val="00EF3D6F"/>
    <w:rsid w:val="00EF6748"/>
    <w:rsid w:val="00EF7500"/>
    <w:rsid w:val="00EF757E"/>
    <w:rsid w:val="00F0145F"/>
    <w:rsid w:val="00F05A97"/>
    <w:rsid w:val="00F07C22"/>
    <w:rsid w:val="00F121C9"/>
    <w:rsid w:val="00F143B3"/>
    <w:rsid w:val="00F14D7E"/>
    <w:rsid w:val="00F14F05"/>
    <w:rsid w:val="00F20FFD"/>
    <w:rsid w:val="00F30217"/>
    <w:rsid w:val="00F30D24"/>
    <w:rsid w:val="00F347CA"/>
    <w:rsid w:val="00F35756"/>
    <w:rsid w:val="00F36AF3"/>
    <w:rsid w:val="00F518E2"/>
    <w:rsid w:val="00F542E5"/>
    <w:rsid w:val="00F5434B"/>
    <w:rsid w:val="00F54D90"/>
    <w:rsid w:val="00F559B8"/>
    <w:rsid w:val="00F56416"/>
    <w:rsid w:val="00F70CDE"/>
    <w:rsid w:val="00F72580"/>
    <w:rsid w:val="00F72969"/>
    <w:rsid w:val="00F73A73"/>
    <w:rsid w:val="00F75809"/>
    <w:rsid w:val="00F77B83"/>
    <w:rsid w:val="00F859F5"/>
    <w:rsid w:val="00F85D5E"/>
    <w:rsid w:val="00F959EF"/>
    <w:rsid w:val="00FA0270"/>
    <w:rsid w:val="00FA0E9D"/>
    <w:rsid w:val="00FA2243"/>
    <w:rsid w:val="00FA2364"/>
    <w:rsid w:val="00FA34A7"/>
    <w:rsid w:val="00FA4A84"/>
    <w:rsid w:val="00FA4ACA"/>
    <w:rsid w:val="00FA738E"/>
    <w:rsid w:val="00FB3451"/>
    <w:rsid w:val="00FB6A00"/>
    <w:rsid w:val="00FB7E10"/>
    <w:rsid w:val="00FC15F2"/>
    <w:rsid w:val="00FC32D0"/>
    <w:rsid w:val="00FC3983"/>
    <w:rsid w:val="00FD02AC"/>
    <w:rsid w:val="00FD0887"/>
    <w:rsid w:val="00FD4353"/>
    <w:rsid w:val="00FD46E4"/>
    <w:rsid w:val="00FD4D02"/>
    <w:rsid w:val="00FD6F02"/>
    <w:rsid w:val="00FE2D49"/>
    <w:rsid w:val="00FE5310"/>
    <w:rsid w:val="00FE59AF"/>
    <w:rsid w:val="00FE64E2"/>
    <w:rsid w:val="00FF4A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AFAA4"/>
  <w15:docId w15:val="{5CF4E960-2ED9-43E0-B2D4-97EA537CE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AC1"/>
    <w:pPr>
      <w:spacing w:after="0" w:line="240" w:lineRule="auto"/>
    </w:pPr>
  </w:style>
  <w:style w:type="paragraph" w:styleId="Heading1">
    <w:name w:val="heading 1"/>
    <w:basedOn w:val="Normal"/>
    <w:next w:val="Normal"/>
    <w:link w:val="Heading1Char"/>
    <w:uiPriority w:val="9"/>
    <w:qFormat/>
    <w:rsid w:val="003248F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A62"/>
    <w:pPr>
      <w:spacing w:after="0" w:line="240" w:lineRule="auto"/>
    </w:pPr>
  </w:style>
  <w:style w:type="paragraph" w:styleId="BalloonText">
    <w:name w:val="Balloon Text"/>
    <w:basedOn w:val="Normal"/>
    <w:link w:val="BalloonTextChar"/>
    <w:uiPriority w:val="99"/>
    <w:semiHidden/>
    <w:unhideWhenUsed/>
    <w:rsid w:val="000A1A62"/>
    <w:rPr>
      <w:rFonts w:ascii="Tahoma" w:hAnsi="Tahoma" w:cs="Tahoma"/>
      <w:sz w:val="16"/>
      <w:szCs w:val="16"/>
    </w:rPr>
  </w:style>
  <w:style w:type="character" w:customStyle="1" w:styleId="BalloonTextChar">
    <w:name w:val="Balloon Text Char"/>
    <w:basedOn w:val="DefaultParagraphFont"/>
    <w:link w:val="BalloonText"/>
    <w:uiPriority w:val="99"/>
    <w:semiHidden/>
    <w:rsid w:val="000A1A62"/>
    <w:rPr>
      <w:rFonts w:ascii="Tahoma" w:hAnsi="Tahoma" w:cs="Tahoma"/>
      <w:sz w:val="16"/>
      <w:szCs w:val="16"/>
    </w:rPr>
  </w:style>
  <w:style w:type="paragraph" w:customStyle="1" w:styleId="Default">
    <w:name w:val="Default"/>
    <w:rsid w:val="009D2F52"/>
    <w:pPr>
      <w:autoSpaceDE w:val="0"/>
      <w:autoSpaceDN w:val="0"/>
      <w:adjustRightInd w:val="0"/>
      <w:spacing w:after="0" w:line="240" w:lineRule="auto"/>
    </w:pPr>
    <w:rPr>
      <w:rFonts w:ascii="Courier New" w:hAnsi="Courier New" w:cs="Courier New"/>
      <w:color w:val="000000"/>
      <w:sz w:val="24"/>
      <w:szCs w:val="24"/>
    </w:rPr>
  </w:style>
  <w:style w:type="paragraph" w:styleId="Header">
    <w:name w:val="header"/>
    <w:basedOn w:val="Normal"/>
    <w:link w:val="HeaderChar"/>
    <w:uiPriority w:val="99"/>
    <w:unhideWhenUsed/>
    <w:rsid w:val="001B431D"/>
    <w:pPr>
      <w:tabs>
        <w:tab w:val="center" w:pos="4320"/>
        <w:tab w:val="right" w:pos="8640"/>
      </w:tabs>
    </w:pPr>
  </w:style>
  <w:style w:type="character" w:customStyle="1" w:styleId="HeaderChar">
    <w:name w:val="Header Char"/>
    <w:basedOn w:val="DefaultParagraphFont"/>
    <w:link w:val="Header"/>
    <w:uiPriority w:val="99"/>
    <w:rsid w:val="001B431D"/>
  </w:style>
  <w:style w:type="paragraph" w:styleId="Footer">
    <w:name w:val="footer"/>
    <w:basedOn w:val="Normal"/>
    <w:link w:val="FooterChar"/>
    <w:uiPriority w:val="99"/>
    <w:unhideWhenUsed/>
    <w:rsid w:val="001B431D"/>
    <w:pPr>
      <w:tabs>
        <w:tab w:val="center" w:pos="4320"/>
        <w:tab w:val="right" w:pos="8640"/>
      </w:tabs>
    </w:pPr>
  </w:style>
  <w:style w:type="character" w:customStyle="1" w:styleId="FooterChar">
    <w:name w:val="Footer Char"/>
    <w:basedOn w:val="DefaultParagraphFont"/>
    <w:link w:val="Footer"/>
    <w:uiPriority w:val="99"/>
    <w:rsid w:val="001B431D"/>
  </w:style>
  <w:style w:type="table" w:styleId="TableGrid">
    <w:name w:val="Table Grid"/>
    <w:basedOn w:val="TableNormal"/>
    <w:uiPriority w:val="59"/>
    <w:rsid w:val="001B431D"/>
    <w:pPr>
      <w:spacing w:after="0" w:line="240" w:lineRule="auto"/>
    </w:pPr>
    <w:rPr>
      <w:rFonts w:ascii="Verdana" w:eastAsiaTheme="minorEastAsia" w:hAnsi="Verdana"/>
      <w:bCs/>
      <w:color w:val="000000" w:themeColor="text1"/>
      <w:szCs w:val="20"/>
      <w:lang w:eastAsia="zh-CN"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248FA"/>
    <w:rPr>
      <w:color w:val="0000FF"/>
      <w:u w:val="single"/>
    </w:rPr>
  </w:style>
  <w:style w:type="character" w:customStyle="1" w:styleId="Heading1Char">
    <w:name w:val="Heading 1 Char"/>
    <w:basedOn w:val="DefaultParagraphFont"/>
    <w:link w:val="Heading1"/>
    <w:uiPriority w:val="9"/>
    <w:rsid w:val="003248FA"/>
    <w:rPr>
      <w:rFonts w:asciiTheme="majorHAnsi" w:eastAsiaTheme="majorEastAsia" w:hAnsiTheme="majorHAnsi" w:cstheme="majorBidi"/>
      <w:color w:val="365F91" w:themeColor="accent1" w:themeShade="BF"/>
      <w:sz w:val="32"/>
      <w:szCs w:val="32"/>
    </w:rPr>
  </w:style>
  <w:style w:type="character" w:customStyle="1" w:styleId="labelfield">
    <w:name w:val="labelfield"/>
    <w:basedOn w:val="DefaultParagraphFont"/>
    <w:rsid w:val="00680DAA"/>
  </w:style>
  <w:style w:type="character" w:styleId="FollowedHyperlink">
    <w:name w:val="FollowedHyperlink"/>
    <w:basedOn w:val="DefaultParagraphFont"/>
    <w:uiPriority w:val="99"/>
    <w:semiHidden/>
    <w:unhideWhenUsed/>
    <w:rsid w:val="002E40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85247">
      <w:bodyDiv w:val="1"/>
      <w:marLeft w:val="0"/>
      <w:marRight w:val="0"/>
      <w:marTop w:val="0"/>
      <w:marBottom w:val="0"/>
      <w:divBdr>
        <w:top w:val="none" w:sz="0" w:space="0" w:color="auto"/>
        <w:left w:val="none" w:sz="0" w:space="0" w:color="auto"/>
        <w:bottom w:val="none" w:sz="0" w:space="0" w:color="auto"/>
        <w:right w:val="none" w:sz="0" w:space="0" w:color="auto"/>
      </w:divBdr>
      <w:divsChild>
        <w:div w:id="1725104882">
          <w:marLeft w:val="446"/>
          <w:marRight w:val="0"/>
          <w:marTop w:val="0"/>
          <w:marBottom w:val="0"/>
          <w:divBdr>
            <w:top w:val="none" w:sz="0" w:space="0" w:color="auto"/>
            <w:left w:val="none" w:sz="0" w:space="0" w:color="auto"/>
            <w:bottom w:val="none" w:sz="0" w:space="0" w:color="auto"/>
            <w:right w:val="none" w:sz="0" w:space="0" w:color="auto"/>
          </w:divBdr>
        </w:div>
      </w:divsChild>
    </w:div>
    <w:div w:id="300812189">
      <w:bodyDiv w:val="1"/>
      <w:marLeft w:val="0"/>
      <w:marRight w:val="0"/>
      <w:marTop w:val="0"/>
      <w:marBottom w:val="0"/>
      <w:divBdr>
        <w:top w:val="none" w:sz="0" w:space="0" w:color="auto"/>
        <w:left w:val="none" w:sz="0" w:space="0" w:color="auto"/>
        <w:bottom w:val="none" w:sz="0" w:space="0" w:color="auto"/>
        <w:right w:val="none" w:sz="0" w:space="0" w:color="auto"/>
      </w:divBdr>
      <w:divsChild>
        <w:div w:id="1677734390">
          <w:marLeft w:val="446"/>
          <w:marRight w:val="0"/>
          <w:marTop w:val="0"/>
          <w:marBottom w:val="0"/>
          <w:divBdr>
            <w:top w:val="none" w:sz="0" w:space="0" w:color="auto"/>
            <w:left w:val="none" w:sz="0" w:space="0" w:color="auto"/>
            <w:bottom w:val="none" w:sz="0" w:space="0" w:color="auto"/>
            <w:right w:val="none" w:sz="0" w:space="0" w:color="auto"/>
          </w:divBdr>
        </w:div>
        <w:div w:id="301079254">
          <w:marLeft w:val="446"/>
          <w:marRight w:val="0"/>
          <w:marTop w:val="0"/>
          <w:marBottom w:val="0"/>
          <w:divBdr>
            <w:top w:val="none" w:sz="0" w:space="0" w:color="auto"/>
            <w:left w:val="none" w:sz="0" w:space="0" w:color="auto"/>
            <w:bottom w:val="none" w:sz="0" w:space="0" w:color="auto"/>
            <w:right w:val="none" w:sz="0" w:space="0" w:color="auto"/>
          </w:divBdr>
        </w:div>
      </w:divsChild>
    </w:div>
    <w:div w:id="1702507550">
      <w:bodyDiv w:val="1"/>
      <w:marLeft w:val="0"/>
      <w:marRight w:val="0"/>
      <w:marTop w:val="0"/>
      <w:marBottom w:val="0"/>
      <w:divBdr>
        <w:top w:val="none" w:sz="0" w:space="0" w:color="auto"/>
        <w:left w:val="none" w:sz="0" w:space="0" w:color="auto"/>
        <w:bottom w:val="none" w:sz="0" w:space="0" w:color="auto"/>
        <w:right w:val="none" w:sz="0" w:space="0" w:color="auto"/>
      </w:divBdr>
      <w:divsChild>
        <w:div w:id="182936846">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ntTable" Target="fontTable.xml"/><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12</Pages>
  <Words>1033</Words>
  <Characters>5892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EXlibris</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Yoel Kortick</dc:creator>
  <cp:lastModifiedBy>Yoel Kortick</cp:lastModifiedBy>
  <cp:revision>16</cp:revision>
  <dcterms:created xsi:type="dcterms:W3CDTF">2017-08-04T13:06:00Z</dcterms:created>
  <dcterms:modified xsi:type="dcterms:W3CDTF">2023-01-09T12:49:00Z</dcterms:modified>
</cp:coreProperties>
</file>