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632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6"/>
        <w:gridCol w:w="1866"/>
      </w:tblGrid>
      <w:tr w:rsidR="00902F13" w:rsidRPr="0038144C" w:rsidTr="00902F13">
        <w:trPr>
          <w:trHeight w:val="296"/>
        </w:trPr>
        <w:tc>
          <w:tcPr>
            <w:tcW w:w="9392" w:type="dxa"/>
            <w:shd w:val="clear" w:color="auto" w:fill="auto"/>
            <w:vAlign w:val="center"/>
          </w:tcPr>
          <w:p w:rsidR="00902F13" w:rsidRPr="009F1A93" w:rsidRDefault="00902F13" w:rsidP="00C84860">
            <w:pPr>
              <w:pStyle w:val="NoSpacing"/>
              <w:rPr>
                <w:rFonts w:asciiTheme="minorBidi" w:hAnsiTheme="minorBidi"/>
                <w:b/>
                <w:bCs/>
                <w:sz w:val="38"/>
                <w:szCs w:val="38"/>
              </w:rPr>
            </w:pPr>
            <w:r w:rsidRPr="00902F13">
              <w:rPr>
                <w:rFonts w:asciiTheme="minorBidi" w:hAnsiTheme="minorBidi"/>
                <w:b/>
                <w:sz w:val="38"/>
                <w:szCs w:val="38"/>
              </w:rPr>
              <w:t>Linking local portfolios in CZ Collection to CZ</w:t>
            </w:r>
            <w:r>
              <w:rPr>
                <w:rFonts w:asciiTheme="minorBidi" w:hAnsiTheme="minorBidi"/>
                <w:b/>
                <w:sz w:val="38"/>
                <w:szCs w:val="38"/>
              </w:rPr>
              <w:t xml:space="preserve"> – what is overridden</w:t>
            </w:r>
            <w:bookmarkStart w:id="0" w:name="_GoBack"/>
            <w:bookmarkEnd w:id="0"/>
          </w:p>
        </w:tc>
        <w:tc>
          <w:tcPr>
            <w:tcW w:w="1240" w:type="dxa"/>
          </w:tcPr>
          <w:p w:rsidR="00902F13" w:rsidRPr="0038144C" w:rsidRDefault="00902F13" w:rsidP="00C84860">
            <w:pPr>
              <w:pStyle w:val="Header"/>
              <w:rPr>
                <w:rFonts w:asciiTheme="minorBidi" w:hAnsiTheme="minorBidi"/>
              </w:rPr>
            </w:pPr>
            <w:r w:rsidRPr="0038144C">
              <w:rPr>
                <w:rFonts w:asciiTheme="minorBidi" w:hAnsiTheme="minorBidi"/>
                <w:noProof/>
              </w:rPr>
              <w:drawing>
                <wp:inline distT="0" distB="0" distL="0" distR="0" wp14:anchorId="21F4B1C4" wp14:editId="435471BD">
                  <wp:extent cx="1043832" cy="5619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ma_logo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00" b="12416"/>
                          <a:stretch/>
                        </pic:blipFill>
                        <pic:spPr bwMode="auto">
                          <a:xfrm>
                            <a:off x="0" y="0"/>
                            <a:ext cx="1068775" cy="57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F13" w:rsidRDefault="00902F13" w:rsidP="00902F13">
      <w:pPr>
        <w:pStyle w:val="NoSpacing"/>
      </w:pPr>
      <w:r>
        <w:rPr>
          <w:noProof/>
        </w:rPr>
        <w:drawing>
          <wp:inline distT="0" distB="0" distL="0" distR="0" wp14:anchorId="199C28B8" wp14:editId="16D2D225">
            <wp:extent cx="8503920" cy="163095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1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FF" w:rsidRPr="00902F13" w:rsidRDefault="00902F13" w:rsidP="00B6552F">
      <w:pPr>
        <w:rPr>
          <w:b/>
          <w:bCs/>
        </w:rPr>
      </w:pPr>
      <w:r w:rsidRPr="00902F13">
        <w:rPr>
          <w:b/>
          <w:bCs/>
        </w:rPr>
        <w:t>Yoel Kortick</w:t>
      </w:r>
    </w:p>
    <w:p w:rsidR="00902F13" w:rsidRPr="00902F13" w:rsidRDefault="00902F13" w:rsidP="00B6552F">
      <w:pPr>
        <w:rPr>
          <w:b/>
          <w:bCs/>
        </w:rPr>
      </w:pPr>
      <w:r w:rsidRPr="00902F13">
        <w:rPr>
          <w:b/>
          <w:bCs/>
        </w:rPr>
        <w:t>Senior Librarian</w:t>
      </w:r>
    </w:p>
    <w:p w:rsidR="00902F13" w:rsidRDefault="00902F13" w:rsidP="00B6552F"/>
    <w:p w:rsidR="009017FF" w:rsidRPr="009017FF" w:rsidRDefault="009017FF" w:rsidP="00B6552F">
      <w:pPr>
        <w:rPr>
          <w:b/>
          <w:bCs/>
        </w:rPr>
      </w:pPr>
      <w:r w:rsidRPr="009017FF">
        <w:rPr>
          <w:b/>
          <w:bCs/>
        </w:rPr>
        <w:t>Question:</w:t>
      </w:r>
    </w:p>
    <w:p w:rsidR="009017FF" w:rsidRDefault="00B6552F" w:rsidP="00B6552F">
      <w:r>
        <w:t>When using “Link Local Portfolios to Community”</w:t>
      </w:r>
      <w:r w:rsidR="009017FF">
        <w:t xml:space="preserve"> from the electronic service editor as described here:</w:t>
      </w:r>
    </w:p>
    <w:p w:rsidR="009017FF" w:rsidRDefault="009017FF" w:rsidP="00B6552F"/>
    <w:p w:rsidR="009017FF" w:rsidRDefault="00236D71" w:rsidP="00B6552F">
      <w:hyperlink r:id="rId12" w:anchor="Linking_a_Local_Portfolio_that_is_part_of_a_Community_Zone-Linked_Collection_to_the_Community_Zone" w:history="1">
        <w:r w:rsidR="009017FF" w:rsidRPr="001524BA">
          <w:rPr>
            <w:rStyle w:val="Hyperlink"/>
          </w:rPr>
          <w:t>https://knowledge.exlibrisgroup.com/Alma/Product_Documentation/010Alma_Online_Help_(English)/040Resource_Management/050Inventory/020Managing_Electronic_Resources#Linking_a_Local_Portfolio_that_is_part_of_a_Community_Zone-Linked_Collection_to_the_Community_Zone</w:t>
        </w:r>
      </w:hyperlink>
    </w:p>
    <w:p w:rsidR="009017FF" w:rsidRDefault="009017FF" w:rsidP="00B6552F"/>
    <w:p w:rsidR="009017FF" w:rsidRDefault="009017FF" w:rsidP="00B6552F">
      <w:r>
        <w:t xml:space="preserve">There is a confirmation message which states </w:t>
      </w:r>
      <w:r w:rsidR="00B6552F">
        <w:t>“The local portfolios information may be overridden</w:t>
      </w:r>
      <w:r>
        <w:t>”</w:t>
      </w:r>
      <w:r w:rsidR="00B6552F">
        <w:t>.</w:t>
      </w:r>
    </w:p>
    <w:p w:rsidR="00B6552F" w:rsidRDefault="009017FF" w:rsidP="009017FF">
      <w:r>
        <w:t xml:space="preserve">What is overridden?  Are the following </w:t>
      </w:r>
      <w:r w:rsidR="00582078">
        <w:t>overridden</w:t>
      </w:r>
      <w:r>
        <w:t>: I</w:t>
      </w:r>
      <w:r w:rsidR="00B6552F">
        <w:t>nternal notes</w:t>
      </w:r>
      <w:r>
        <w:t xml:space="preserve">, </w:t>
      </w:r>
      <w:r w:rsidR="00B6552F">
        <w:t>General notes</w:t>
      </w:r>
      <w:r>
        <w:t xml:space="preserve">, </w:t>
      </w:r>
      <w:r w:rsidR="00B6552F">
        <w:t>Associate</w:t>
      </w:r>
      <w:r>
        <w:t xml:space="preserve">d POL, </w:t>
      </w:r>
      <w:r w:rsidR="00B6552F">
        <w:t>Coverage</w:t>
      </w:r>
      <w:r>
        <w:t xml:space="preserve"> and </w:t>
      </w:r>
      <w:r w:rsidR="00B6552F">
        <w:t>Library?</w:t>
      </w:r>
    </w:p>
    <w:p w:rsidR="009017FF" w:rsidRDefault="009017FF" w:rsidP="00B6552F"/>
    <w:p w:rsidR="00A9204E" w:rsidRPr="009017FF" w:rsidRDefault="009017FF" w:rsidP="00B6552F">
      <w:pPr>
        <w:rPr>
          <w:b/>
          <w:bCs/>
        </w:rPr>
      </w:pPr>
      <w:r w:rsidRPr="009017FF">
        <w:rPr>
          <w:b/>
          <w:bCs/>
        </w:rPr>
        <w:t>Answer:</w:t>
      </w:r>
      <w:r w:rsidR="00B6552F" w:rsidRPr="009017FF">
        <w:rPr>
          <w:b/>
          <w:bCs/>
        </w:rPr>
        <w:t xml:space="preserve"> </w:t>
      </w:r>
    </w:p>
    <w:p w:rsidR="0003558F" w:rsidRDefault="0003558F" w:rsidP="00B6552F"/>
    <w:p w:rsidR="00F059E4" w:rsidRDefault="00F059E4" w:rsidP="009017FF">
      <w:pPr>
        <w:pStyle w:val="ListParagraph"/>
        <w:numPr>
          <w:ilvl w:val="0"/>
          <w:numId w:val="24"/>
        </w:numPr>
      </w:pPr>
      <w:r>
        <w:t xml:space="preserve">The “Library” of the </w:t>
      </w:r>
      <w:r w:rsidR="009017FF">
        <w:t>portfolio</w:t>
      </w:r>
      <w:r>
        <w:t xml:space="preserve"> is not removed</w:t>
      </w:r>
    </w:p>
    <w:p w:rsidR="009017FF" w:rsidRDefault="009017FF" w:rsidP="009017FF">
      <w:pPr>
        <w:pStyle w:val="ListParagraph"/>
        <w:numPr>
          <w:ilvl w:val="0"/>
          <w:numId w:val="24"/>
        </w:numPr>
      </w:pPr>
      <w:r>
        <w:t>The local coverage remains, and global coverage is added.</w:t>
      </w:r>
    </w:p>
    <w:p w:rsidR="009017FF" w:rsidRDefault="009017FF" w:rsidP="009017FF">
      <w:pPr>
        <w:pStyle w:val="ListParagraph"/>
        <w:numPr>
          <w:ilvl w:val="0"/>
          <w:numId w:val="24"/>
        </w:numPr>
      </w:pPr>
      <w:r>
        <w:t>All acquisition POLs remain.</w:t>
      </w:r>
    </w:p>
    <w:p w:rsidR="009017FF" w:rsidRDefault="009017FF" w:rsidP="009017FF">
      <w:pPr>
        <w:pStyle w:val="ListParagraph"/>
        <w:numPr>
          <w:ilvl w:val="0"/>
          <w:numId w:val="24"/>
        </w:numPr>
      </w:pPr>
      <w:r>
        <w:t>The parts of the portfolio which change can be seen in the history tab changed by “System”.</w:t>
      </w:r>
    </w:p>
    <w:p w:rsidR="009017FF" w:rsidRDefault="009017FF" w:rsidP="009017FF">
      <w:pPr>
        <w:pStyle w:val="ListParagraph"/>
        <w:numPr>
          <w:ilvl w:val="0"/>
          <w:numId w:val="24"/>
        </w:numPr>
      </w:pPr>
      <w:r>
        <w:t>The parts that are changes are the parser parameters in the “Linking” tab and the electronic material type in the general tab.</w:t>
      </w:r>
    </w:p>
    <w:p w:rsidR="009017FF" w:rsidRDefault="009017FF" w:rsidP="00B6552F"/>
    <w:p w:rsidR="009017FF" w:rsidRPr="004643A7" w:rsidRDefault="009017FF" w:rsidP="00B6552F">
      <w:pPr>
        <w:rPr>
          <w:b/>
          <w:bCs/>
        </w:rPr>
      </w:pPr>
      <w:r w:rsidRPr="004643A7">
        <w:rPr>
          <w:b/>
          <w:bCs/>
        </w:rPr>
        <w:t>Live demo showing the above:</w:t>
      </w:r>
    </w:p>
    <w:p w:rsidR="00F059E4" w:rsidRDefault="00F059E4" w:rsidP="00B6552F"/>
    <w:p w:rsidR="00F059E4" w:rsidRDefault="00F059E4" w:rsidP="00B6552F"/>
    <w:p w:rsidR="00F059E4" w:rsidRDefault="00F059E4" w:rsidP="00B6552F"/>
    <w:p w:rsidR="0003558F" w:rsidRPr="00675B19" w:rsidRDefault="0003558F" w:rsidP="00B6552F">
      <w:pPr>
        <w:rPr>
          <w:b/>
          <w:bCs/>
        </w:rPr>
      </w:pPr>
      <w:r w:rsidRPr="00675B19">
        <w:rPr>
          <w:b/>
          <w:bCs/>
        </w:rPr>
        <w:t>ONE</w:t>
      </w:r>
    </w:p>
    <w:p w:rsidR="00F059E4" w:rsidRDefault="00F059E4" w:rsidP="00F059E4">
      <w:r>
        <w:t>“Red Book” is part of electronic collection “Women’s magazine Archive” is an electronic collection linked to the Community Zone</w:t>
      </w:r>
    </w:p>
    <w:p w:rsidR="00F059E4" w:rsidRDefault="00F059E4" w:rsidP="00F059E4"/>
    <w:p w:rsidR="00F059E4" w:rsidRDefault="00F059E4" w:rsidP="00F059E4">
      <w:r>
        <w:rPr>
          <w:noProof/>
        </w:rPr>
        <w:drawing>
          <wp:inline distT="0" distB="0" distL="0" distR="0">
            <wp:extent cx="5943600" cy="1870710"/>
            <wp:effectExtent l="19050" t="19050" r="1905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59E4" w:rsidRDefault="00F059E4" w:rsidP="00F059E4">
      <w:pPr>
        <w:rPr>
          <w:b/>
          <w:bCs/>
        </w:rPr>
      </w:pPr>
    </w:p>
    <w:p w:rsidR="00F059E4" w:rsidRPr="00675B19" w:rsidRDefault="00F059E4" w:rsidP="00F059E4">
      <w:pPr>
        <w:rPr>
          <w:b/>
          <w:bCs/>
        </w:rPr>
      </w:pPr>
      <w:r w:rsidRPr="00675B19">
        <w:rPr>
          <w:b/>
          <w:bCs/>
        </w:rPr>
        <w:lastRenderedPageBreak/>
        <w:t>TWO</w:t>
      </w:r>
    </w:p>
    <w:p w:rsidR="00F059E4" w:rsidRDefault="00F059E4" w:rsidP="00F059E4">
      <w:r>
        <w:t xml:space="preserve"> One of the portfolios in the collection, “Red Book”, is a local portfolio.</w:t>
      </w:r>
    </w:p>
    <w:p w:rsidR="00F059E4" w:rsidRDefault="00F059E4" w:rsidP="00F059E4"/>
    <w:p w:rsidR="0003558F" w:rsidRDefault="0003558F" w:rsidP="00B6552F"/>
    <w:p w:rsidR="0003558F" w:rsidRDefault="00F059E4" w:rsidP="00B6552F">
      <w:r>
        <w:rPr>
          <w:noProof/>
        </w:rPr>
        <w:drawing>
          <wp:inline distT="0" distB="0" distL="0" distR="0">
            <wp:extent cx="5905500" cy="230505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3558F" w:rsidRDefault="0003558F" w:rsidP="00B6552F"/>
    <w:p w:rsidR="0003558F" w:rsidRDefault="0003558F" w:rsidP="00B6552F"/>
    <w:p w:rsidR="0003558F" w:rsidRPr="00675B19" w:rsidRDefault="0003558F" w:rsidP="00B6552F">
      <w:pPr>
        <w:rPr>
          <w:b/>
          <w:bCs/>
        </w:rPr>
      </w:pPr>
      <w:r w:rsidRPr="00675B19">
        <w:rPr>
          <w:b/>
          <w:bCs/>
        </w:rPr>
        <w:t>THREE</w:t>
      </w:r>
    </w:p>
    <w:p w:rsidR="0003558F" w:rsidRDefault="0003558F" w:rsidP="00B6552F">
      <w:r>
        <w:t xml:space="preserve">The portfolio </w:t>
      </w:r>
      <w:r w:rsidR="00F059E4">
        <w:t>has a library</w:t>
      </w:r>
    </w:p>
    <w:p w:rsidR="0003558F" w:rsidRDefault="0003558F" w:rsidP="00B6552F"/>
    <w:p w:rsidR="0003558F" w:rsidRDefault="00F059E4" w:rsidP="00B6552F">
      <w:r>
        <w:rPr>
          <w:noProof/>
        </w:rPr>
        <w:drawing>
          <wp:inline distT="0" distB="0" distL="0" distR="0">
            <wp:extent cx="5934075" cy="2800350"/>
            <wp:effectExtent l="19050" t="19050" r="2857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3558F" w:rsidRDefault="0003558F" w:rsidP="00B6552F"/>
    <w:p w:rsidR="0003558F" w:rsidRDefault="0003558F" w:rsidP="00B6552F"/>
    <w:p w:rsidR="0003558F" w:rsidRPr="00675B19" w:rsidRDefault="00675B19" w:rsidP="00B6552F">
      <w:pPr>
        <w:rPr>
          <w:b/>
          <w:bCs/>
        </w:rPr>
      </w:pPr>
      <w:r w:rsidRPr="00675B19">
        <w:rPr>
          <w:b/>
          <w:bCs/>
        </w:rPr>
        <w:t>FOUR</w:t>
      </w:r>
    </w:p>
    <w:p w:rsidR="00675B19" w:rsidRDefault="00675B19" w:rsidP="00B6552F"/>
    <w:p w:rsidR="00675B19" w:rsidRDefault="00675B19" w:rsidP="00B6552F">
      <w:r>
        <w:t xml:space="preserve">The portfolio has </w:t>
      </w:r>
      <w:r w:rsidR="00F059E4">
        <w:t>coverage</w:t>
      </w:r>
    </w:p>
    <w:p w:rsidR="00675B19" w:rsidRDefault="00675B19" w:rsidP="00B6552F"/>
    <w:p w:rsidR="00675B19" w:rsidRDefault="00F059E4" w:rsidP="00B6552F">
      <w:r>
        <w:rPr>
          <w:noProof/>
        </w:rPr>
        <w:lastRenderedPageBreak/>
        <w:drawing>
          <wp:inline distT="0" distB="0" distL="0" distR="0">
            <wp:extent cx="5934075" cy="3219450"/>
            <wp:effectExtent l="19050" t="19050" r="2857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5B19" w:rsidRDefault="00675B19" w:rsidP="00B6552F"/>
    <w:p w:rsidR="00675B19" w:rsidRPr="00675B19" w:rsidRDefault="00675B19" w:rsidP="00B6552F">
      <w:pPr>
        <w:rPr>
          <w:b/>
          <w:bCs/>
        </w:rPr>
      </w:pPr>
      <w:r w:rsidRPr="00675B19">
        <w:rPr>
          <w:b/>
          <w:bCs/>
        </w:rPr>
        <w:t>FIVE</w:t>
      </w:r>
    </w:p>
    <w:p w:rsidR="00675B19" w:rsidRDefault="00675B19" w:rsidP="00B6552F"/>
    <w:p w:rsidR="00675B19" w:rsidRDefault="00675B19" w:rsidP="00B6552F">
      <w:r>
        <w:t xml:space="preserve">The portfolio has </w:t>
      </w:r>
      <w:r w:rsidR="00F059E4">
        <w:t>an electronic collection POL, a POL, and an additional POL</w:t>
      </w:r>
    </w:p>
    <w:p w:rsidR="00F059E4" w:rsidRDefault="00F059E4" w:rsidP="00B6552F"/>
    <w:p w:rsidR="00F059E4" w:rsidRDefault="00F059E4" w:rsidP="00B6552F"/>
    <w:p w:rsidR="00675B19" w:rsidRDefault="00675B19" w:rsidP="00B6552F"/>
    <w:p w:rsidR="00675B19" w:rsidRDefault="00F059E4" w:rsidP="00B6552F">
      <w:r>
        <w:rPr>
          <w:noProof/>
        </w:rPr>
        <w:drawing>
          <wp:inline distT="0" distB="0" distL="0" distR="0">
            <wp:extent cx="5934075" cy="3219450"/>
            <wp:effectExtent l="19050" t="19050" r="2857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5B19" w:rsidRDefault="00675B19" w:rsidP="00B6552F"/>
    <w:p w:rsidR="00675B19" w:rsidRDefault="00675B19" w:rsidP="00B6552F"/>
    <w:p w:rsidR="00675B19" w:rsidRPr="00675B19" w:rsidRDefault="00675B19" w:rsidP="00B6552F">
      <w:pPr>
        <w:rPr>
          <w:b/>
          <w:bCs/>
        </w:rPr>
      </w:pPr>
      <w:r w:rsidRPr="00675B19">
        <w:rPr>
          <w:b/>
          <w:bCs/>
        </w:rPr>
        <w:lastRenderedPageBreak/>
        <w:t>SIX</w:t>
      </w:r>
    </w:p>
    <w:p w:rsidR="00675B19" w:rsidRDefault="00675B19" w:rsidP="00B6552F">
      <w:r>
        <w:t xml:space="preserve">The portfolio has </w:t>
      </w:r>
      <w:r w:rsidR="00F059E4">
        <w:t>functional notes and general notes</w:t>
      </w:r>
    </w:p>
    <w:p w:rsidR="00675B19" w:rsidRDefault="00675B19" w:rsidP="00B6552F"/>
    <w:p w:rsidR="00F059E4" w:rsidRDefault="00F059E4" w:rsidP="00B6552F">
      <w:r>
        <w:rPr>
          <w:noProof/>
        </w:rPr>
        <w:drawing>
          <wp:inline distT="0" distB="0" distL="0" distR="0">
            <wp:extent cx="5934075" cy="31432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19" w:rsidRDefault="00675B19" w:rsidP="00B6552F"/>
    <w:p w:rsidR="00675B19" w:rsidRDefault="00675B19" w:rsidP="00B6552F"/>
    <w:p w:rsidR="00675B19" w:rsidRPr="00675B19" w:rsidRDefault="00675B19" w:rsidP="00B6552F">
      <w:pPr>
        <w:rPr>
          <w:b/>
          <w:bCs/>
        </w:rPr>
      </w:pPr>
      <w:r w:rsidRPr="00675B19">
        <w:rPr>
          <w:b/>
          <w:bCs/>
        </w:rPr>
        <w:t>SEVEN</w:t>
      </w:r>
    </w:p>
    <w:p w:rsidR="00675B19" w:rsidRDefault="00675B19" w:rsidP="00B6552F">
      <w:r>
        <w:t>From the portfolios list of the electronic collection service editor we choose “Link Local Portfolios to the Community”</w:t>
      </w:r>
    </w:p>
    <w:p w:rsidR="00675B19" w:rsidRDefault="00675B19" w:rsidP="00B6552F"/>
    <w:p w:rsidR="00675B19" w:rsidRDefault="00F059E4" w:rsidP="00B6552F">
      <w:r>
        <w:rPr>
          <w:noProof/>
        </w:rPr>
        <w:drawing>
          <wp:inline distT="0" distB="0" distL="0" distR="0">
            <wp:extent cx="5934075" cy="3124200"/>
            <wp:effectExtent l="19050" t="19050" r="2857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5B19" w:rsidRDefault="00675B19" w:rsidP="00B6552F"/>
    <w:p w:rsidR="00675B19" w:rsidRPr="00675B19" w:rsidRDefault="00675B19" w:rsidP="00B6552F">
      <w:pPr>
        <w:rPr>
          <w:b/>
          <w:bCs/>
        </w:rPr>
      </w:pPr>
      <w:r w:rsidRPr="00675B19">
        <w:rPr>
          <w:b/>
          <w:bCs/>
        </w:rPr>
        <w:lastRenderedPageBreak/>
        <w:t>EIGHT</w:t>
      </w:r>
    </w:p>
    <w:p w:rsidR="00675B19" w:rsidRDefault="00675B19" w:rsidP="00B6552F">
      <w:r>
        <w:t>We get this message and confirm</w:t>
      </w:r>
    </w:p>
    <w:p w:rsidR="00675B19" w:rsidRDefault="00675B19" w:rsidP="00B6552F"/>
    <w:p w:rsidR="00675B19" w:rsidRDefault="00675B19" w:rsidP="00B6552F">
      <w:r>
        <w:rPr>
          <w:noProof/>
        </w:rPr>
        <w:drawing>
          <wp:inline distT="0" distB="0" distL="0" distR="0">
            <wp:extent cx="5934075" cy="1914525"/>
            <wp:effectExtent l="19050" t="1905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5B19" w:rsidRDefault="00675B19" w:rsidP="00B6552F"/>
    <w:p w:rsidR="00675B19" w:rsidRPr="00675B19" w:rsidRDefault="00675B19" w:rsidP="00B6552F">
      <w:pPr>
        <w:rPr>
          <w:b/>
          <w:bCs/>
        </w:rPr>
      </w:pPr>
      <w:r w:rsidRPr="00675B19">
        <w:rPr>
          <w:b/>
          <w:bCs/>
        </w:rPr>
        <w:t>NINE</w:t>
      </w:r>
    </w:p>
    <w:p w:rsidR="00675B19" w:rsidRDefault="00675B19" w:rsidP="00B6552F">
      <w:r>
        <w:t>The linking job runs</w:t>
      </w:r>
    </w:p>
    <w:p w:rsidR="00675B19" w:rsidRDefault="00675B19" w:rsidP="00B6552F"/>
    <w:p w:rsidR="00675B19" w:rsidRDefault="00F059E4" w:rsidP="00B6552F">
      <w:r>
        <w:rPr>
          <w:noProof/>
        </w:rPr>
        <w:drawing>
          <wp:inline distT="0" distB="0" distL="0" distR="0">
            <wp:extent cx="5943600" cy="5486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E4" w:rsidRDefault="00F059E4" w:rsidP="00B6552F"/>
    <w:p w:rsidR="00F059E4" w:rsidRPr="00F059E4" w:rsidRDefault="00F059E4" w:rsidP="00B6552F">
      <w:pPr>
        <w:rPr>
          <w:b/>
          <w:bCs/>
        </w:rPr>
      </w:pPr>
      <w:r w:rsidRPr="00F059E4">
        <w:rPr>
          <w:b/>
          <w:bCs/>
        </w:rPr>
        <w:t>TEN</w:t>
      </w:r>
    </w:p>
    <w:p w:rsidR="00F059E4" w:rsidRDefault="00F059E4" w:rsidP="00B6552F">
      <w:r>
        <w:t>The portfolio is linked</w:t>
      </w:r>
    </w:p>
    <w:p w:rsidR="00F059E4" w:rsidRDefault="00F059E4" w:rsidP="00B6552F"/>
    <w:p w:rsidR="00F059E4" w:rsidRDefault="00F059E4" w:rsidP="00B6552F">
      <w:r>
        <w:rPr>
          <w:noProof/>
        </w:rPr>
        <w:drawing>
          <wp:inline distT="0" distB="0" distL="0" distR="0">
            <wp:extent cx="5943600" cy="3009900"/>
            <wp:effectExtent l="19050" t="19050" r="1905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59E4" w:rsidRDefault="00F059E4" w:rsidP="00B6552F"/>
    <w:p w:rsidR="00F059E4" w:rsidRDefault="00F059E4" w:rsidP="00B6552F">
      <w:pPr>
        <w:rPr>
          <w:b/>
          <w:bCs/>
        </w:rPr>
      </w:pPr>
      <w:r w:rsidRPr="00F059E4">
        <w:rPr>
          <w:b/>
          <w:bCs/>
        </w:rPr>
        <w:t>ELEVEN</w:t>
      </w:r>
    </w:p>
    <w:p w:rsidR="00F059E4" w:rsidRPr="00F059E4" w:rsidRDefault="00F059E4" w:rsidP="00B6552F">
      <w:pPr>
        <w:rPr>
          <w:b/>
          <w:bCs/>
        </w:rPr>
      </w:pPr>
    </w:p>
    <w:p w:rsidR="00F059E4" w:rsidRDefault="00F059E4" w:rsidP="00B6552F">
      <w:r>
        <w:rPr>
          <w:noProof/>
        </w:rPr>
        <w:lastRenderedPageBreak/>
        <w:drawing>
          <wp:inline distT="0" distB="0" distL="0" distR="0">
            <wp:extent cx="5943600" cy="1504950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59E4" w:rsidRDefault="00F059E4" w:rsidP="00B6552F"/>
    <w:p w:rsidR="00F059E4" w:rsidRPr="00F059E4" w:rsidRDefault="00F059E4" w:rsidP="00B6552F">
      <w:pPr>
        <w:rPr>
          <w:b/>
          <w:bCs/>
        </w:rPr>
      </w:pPr>
      <w:r w:rsidRPr="00F059E4">
        <w:rPr>
          <w:b/>
          <w:bCs/>
        </w:rPr>
        <w:t>TWELVE</w:t>
      </w:r>
    </w:p>
    <w:p w:rsidR="00F059E4" w:rsidRDefault="00F059E4" w:rsidP="00B6552F"/>
    <w:p w:rsidR="00F059E4" w:rsidRDefault="00F059E4" w:rsidP="00B6552F">
      <w:r>
        <w:t>The library is still there</w:t>
      </w:r>
    </w:p>
    <w:p w:rsidR="00F059E4" w:rsidRDefault="00F059E4" w:rsidP="00B6552F"/>
    <w:p w:rsidR="00F059E4" w:rsidRDefault="00F059E4" w:rsidP="00B6552F">
      <w:r>
        <w:rPr>
          <w:noProof/>
        </w:rPr>
        <w:drawing>
          <wp:inline distT="0" distB="0" distL="0" distR="0">
            <wp:extent cx="5934075" cy="4724400"/>
            <wp:effectExtent l="19050" t="19050" r="285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2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59E4" w:rsidRDefault="00F059E4" w:rsidP="00B6552F"/>
    <w:p w:rsidR="00F059E4" w:rsidRDefault="00F059E4" w:rsidP="00B6552F"/>
    <w:p w:rsidR="00675B19" w:rsidRDefault="00675B19" w:rsidP="00B6552F"/>
    <w:p w:rsidR="00675B19" w:rsidRPr="009017FF" w:rsidRDefault="009017FF" w:rsidP="00B6552F">
      <w:pPr>
        <w:rPr>
          <w:b/>
          <w:bCs/>
        </w:rPr>
      </w:pPr>
      <w:r w:rsidRPr="009017FF">
        <w:rPr>
          <w:b/>
          <w:bCs/>
        </w:rPr>
        <w:t>THIRTEEN</w:t>
      </w:r>
    </w:p>
    <w:p w:rsidR="009017FF" w:rsidRDefault="009017FF" w:rsidP="00B6552F">
      <w:r>
        <w:t xml:space="preserve">The local coverage is still </w:t>
      </w:r>
      <w:proofErr w:type="gramStart"/>
      <w:r>
        <w:t>there</w:t>
      </w:r>
      <w:proofErr w:type="gramEnd"/>
      <w:r>
        <w:t xml:space="preserve"> and global coverage has been added</w:t>
      </w:r>
    </w:p>
    <w:p w:rsidR="009017FF" w:rsidRDefault="009017FF" w:rsidP="00B6552F"/>
    <w:p w:rsidR="009017FF" w:rsidRDefault="009017FF" w:rsidP="00B6552F">
      <w:r>
        <w:rPr>
          <w:noProof/>
        </w:rPr>
        <w:drawing>
          <wp:inline distT="0" distB="0" distL="0" distR="0">
            <wp:extent cx="5943600" cy="325755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17FF" w:rsidRDefault="009017FF" w:rsidP="00B6552F"/>
    <w:p w:rsidR="009017FF" w:rsidRDefault="009017FF" w:rsidP="00B6552F"/>
    <w:p w:rsidR="00675B19" w:rsidRDefault="00675B19" w:rsidP="00B6552F"/>
    <w:p w:rsidR="00675B19" w:rsidRDefault="009017FF" w:rsidP="00B6552F">
      <w:r>
        <w:t>FOURTEEN</w:t>
      </w:r>
    </w:p>
    <w:p w:rsidR="009017FF" w:rsidRDefault="009017FF" w:rsidP="00B6552F">
      <w:r>
        <w:t>All acquisition POLs remain</w:t>
      </w:r>
    </w:p>
    <w:p w:rsidR="009017FF" w:rsidRDefault="009017FF" w:rsidP="00B6552F"/>
    <w:p w:rsidR="009017FF" w:rsidRDefault="009017FF" w:rsidP="00B6552F">
      <w:r>
        <w:rPr>
          <w:noProof/>
        </w:rPr>
        <w:lastRenderedPageBreak/>
        <w:drawing>
          <wp:inline distT="0" distB="0" distL="0" distR="0">
            <wp:extent cx="5943600" cy="4514850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17FF" w:rsidRDefault="009017FF" w:rsidP="00B6552F"/>
    <w:p w:rsidR="009017FF" w:rsidRPr="009017FF" w:rsidRDefault="009017FF" w:rsidP="00B6552F">
      <w:pPr>
        <w:rPr>
          <w:b/>
          <w:bCs/>
        </w:rPr>
      </w:pPr>
      <w:r w:rsidRPr="009017FF">
        <w:rPr>
          <w:b/>
          <w:bCs/>
        </w:rPr>
        <w:t>FIFTEEN</w:t>
      </w:r>
    </w:p>
    <w:p w:rsidR="009017FF" w:rsidRDefault="009017FF" w:rsidP="00B6552F"/>
    <w:p w:rsidR="009017FF" w:rsidRDefault="009017FF" w:rsidP="00B6552F">
      <w:r>
        <w:t>All notes remain</w:t>
      </w:r>
    </w:p>
    <w:p w:rsidR="009017FF" w:rsidRDefault="009017FF" w:rsidP="00B6552F"/>
    <w:p w:rsidR="009017FF" w:rsidRDefault="009017FF" w:rsidP="00B6552F">
      <w:r>
        <w:rPr>
          <w:noProof/>
        </w:rPr>
        <w:lastRenderedPageBreak/>
        <w:drawing>
          <wp:inline distT="0" distB="0" distL="0" distR="0">
            <wp:extent cx="5934075" cy="3276600"/>
            <wp:effectExtent l="19050" t="19050" r="2857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17FF" w:rsidRDefault="009017FF" w:rsidP="00B6552F"/>
    <w:p w:rsidR="009017FF" w:rsidRPr="009017FF" w:rsidRDefault="009017FF" w:rsidP="00B6552F">
      <w:pPr>
        <w:rPr>
          <w:b/>
          <w:bCs/>
        </w:rPr>
      </w:pPr>
      <w:r w:rsidRPr="009017FF">
        <w:rPr>
          <w:b/>
          <w:bCs/>
        </w:rPr>
        <w:t>SIXTEEN</w:t>
      </w:r>
    </w:p>
    <w:p w:rsidR="009017FF" w:rsidRDefault="009017FF" w:rsidP="00B6552F"/>
    <w:p w:rsidR="009017FF" w:rsidRDefault="009017FF" w:rsidP="00B6552F">
      <w:r>
        <w:t>The parts of the portfolio which change can be seen in the history tab changed by “System”.</w:t>
      </w:r>
    </w:p>
    <w:p w:rsidR="009017FF" w:rsidRDefault="009017FF" w:rsidP="00B6552F">
      <w:r>
        <w:t>The parts that are changes are the parser parameters in the “Linking” tab and the electronic material type in the general tab.</w:t>
      </w:r>
    </w:p>
    <w:p w:rsidR="009017FF" w:rsidRDefault="009017FF" w:rsidP="00B6552F"/>
    <w:p w:rsidR="009017FF" w:rsidRDefault="009017FF" w:rsidP="00B6552F">
      <w:r>
        <w:rPr>
          <w:noProof/>
        </w:rPr>
        <w:drawing>
          <wp:inline distT="0" distB="0" distL="0" distR="0">
            <wp:extent cx="5934075" cy="2619375"/>
            <wp:effectExtent l="19050" t="19050" r="2857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17FF" w:rsidRDefault="009017FF" w:rsidP="00B6552F"/>
    <w:p w:rsidR="009017FF" w:rsidRDefault="009017FF" w:rsidP="00B6552F"/>
    <w:sectPr w:rsidR="009017FF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6D71" w:rsidRDefault="00236D71" w:rsidP="00902F13">
      <w:r>
        <w:separator/>
      </w:r>
    </w:p>
  </w:endnote>
  <w:endnote w:type="continuationSeparator" w:id="0">
    <w:p w:rsidR="00236D71" w:rsidRDefault="00236D71" w:rsidP="00902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F13" w:rsidRPr="00247F1B" w:rsidRDefault="00902F13" w:rsidP="00902F13">
    <w:pPr>
      <w:pBdr>
        <w:top w:val="single" w:sz="4" w:space="1" w:color="auto"/>
      </w:pBdr>
      <w:tabs>
        <w:tab w:val="left" w:pos="-270"/>
      </w:tabs>
      <w:jc w:val="center"/>
      <w:rPr>
        <w:rFonts w:ascii="Palatino Linotype" w:hAnsi="Palatino Linotype"/>
        <w:color w:val="000000"/>
      </w:rPr>
    </w:pPr>
    <w:r w:rsidRPr="00247F1B">
      <w:rPr>
        <w:rFonts w:ascii="Palatino Linotype" w:hAnsi="Palatino Linotype"/>
        <w:color w:val="000000"/>
      </w:rPr>
      <w:t>Ex Libris Confidential</w:t>
    </w:r>
  </w:p>
  <w:p w:rsidR="00902F13" w:rsidRDefault="00902F13" w:rsidP="00902F13">
    <w:pPr>
      <w:pStyle w:val="Footer"/>
    </w:pPr>
    <w:r w:rsidRPr="00247F1B">
      <w:rPr>
        <w:rFonts w:ascii="Palatino Linotype" w:hAnsi="Palatino Linotype"/>
        <w:sz w:val="18"/>
        <w:szCs w:val="18"/>
      </w:rPr>
      <w:t>© Copyright Ex Libris Ltd, 201</w:t>
    </w:r>
    <w:r>
      <w:rPr>
        <w:rFonts w:ascii="Palatino Linotype" w:hAnsi="Palatino Linotype"/>
        <w:sz w:val="18"/>
        <w:szCs w:val="18"/>
      </w:rPr>
      <w:t>9</w:t>
    </w:r>
    <w:r w:rsidRPr="00247F1B">
      <w:rPr>
        <w:rFonts w:ascii="Palatino Linotype" w:hAnsi="Palatino Linotype"/>
        <w:sz w:val="18"/>
        <w:szCs w:val="18"/>
      </w:rPr>
      <w:t>. All rights reserved. Ex Libris is a registered trademark of Ex Libris Ltd., as are other names and marks. Other marks appearing herein may be trademarks of their respective owners.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6D71" w:rsidRDefault="00236D71" w:rsidP="00902F13">
      <w:r>
        <w:separator/>
      </w:r>
    </w:p>
  </w:footnote>
  <w:footnote w:type="continuationSeparator" w:id="0">
    <w:p w:rsidR="00236D71" w:rsidRDefault="00236D71" w:rsidP="00902F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F8F3475"/>
    <w:multiLevelType w:val="hybridMultilevel"/>
    <w:tmpl w:val="4CF84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22"/>
  </w:num>
  <w:num w:numId="5">
    <w:abstractNumId w:val="13"/>
  </w:num>
  <w:num w:numId="6">
    <w:abstractNumId w:val="17"/>
  </w:num>
  <w:num w:numId="7">
    <w:abstractNumId w:val="1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1"/>
  </w:num>
  <w:num w:numId="21">
    <w:abstractNumId w:val="18"/>
  </w:num>
  <w:num w:numId="22">
    <w:abstractNumId w:val="11"/>
  </w:num>
  <w:num w:numId="23">
    <w:abstractNumId w:val="2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2F"/>
    <w:rsid w:val="0003558F"/>
    <w:rsid w:val="00236D71"/>
    <w:rsid w:val="004643A7"/>
    <w:rsid w:val="00582078"/>
    <w:rsid w:val="00645252"/>
    <w:rsid w:val="00675B19"/>
    <w:rsid w:val="006D3D74"/>
    <w:rsid w:val="0083569A"/>
    <w:rsid w:val="009017FF"/>
    <w:rsid w:val="00902F13"/>
    <w:rsid w:val="00A9204E"/>
    <w:rsid w:val="00B6552F"/>
    <w:rsid w:val="00F0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8171A"/>
  <w15:chartTrackingRefBased/>
  <w15:docId w15:val="{21EA9F46-40C5-4C5E-9EC8-3F704E9BC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7FF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character" w:styleId="UnresolvedMention">
    <w:name w:val="Unresolved Mention"/>
    <w:basedOn w:val="DefaultParagraphFont"/>
    <w:uiPriority w:val="99"/>
    <w:semiHidden/>
    <w:unhideWhenUsed/>
    <w:rsid w:val="000355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9017FF"/>
    <w:pPr>
      <w:ind w:left="720"/>
      <w:contextualSpacing/>
    </w:pPr>
  </w:style>
  <w:style w:type="paragraph" w:styleId="NoSpacing">
    <w:name w:val="No Spacing"/>
    <w:uiPriority w:val="1"/>
    <w:qFormat/>
    <w:rsid w:val="00902F13"/>
    <w:rPr>
      <w:lang w:bidi="he-IL"/>
    </w:rPr>
  </w:style>
  <w:style w:type="table" w:styleId="TableGrid">
    <w:name w:val="Table Grid"/>
    <w:basedOn w:val="TableNormal"/>
    <w:uiPriority w:val="59"/>
    <w:rsid w:val="00902F13"/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s://knowledge.exlibrisgroup.com/Alma/Product_Documentation/010Alma_Online_Help_(English)/040Resource_Management/050Inventory/020Managing_Electronic_Resource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elk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74</TotalTime>
  <Pages>9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Yoel Kortick</dc:creator>
  <cp:keywords/>
  <dc:description/>
  <cp:lastModifiedBy>Yoel Kortick</cp:lastModifiedBy>
  <cp:revision>4</cp:revision>
  <dcterms:created xsi:type="dcterms:W3CDTF">2019-09-09T11:22:00Z</dcterms:created>
  <dcterms:modified xsi:type="dcterms:W3CDTF">2019-09-09T12:39:00Z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