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EC07" w14:textId="77777777" w:rsidR="00353723" w:rsidRDefault="00353723" w:rsidP="00F23789">
      <w:pPr>
        <w:ind w:left="90" w:firstLine="0"/>
      </w:pPr>
    </w:p>
    <w:p w14:paraId="1AC17A99" w14:textId="77777777" w:rsidR="00353723" w:rsidRDefault="00353723" w:rsidP="00F23789">
      <w:pPr>
        <w:ind w:left="90" w:firstLine="0"/>
        <w:jc w:val="center"/>
        <w:rPr>
          <w:b/>
          <w:bCs/>
          <w:sz w:val="36"/>
          <w:szCs w:val="36"/>
        </w:rPr>
      </w:pPr>
      <w:r w:rsidRPr="00353723">
        <w:rPr>
          <w:b/>
          <w:bCs/>
          <w:sz w:val="36"/>
          <w:szCs w:val="36"/>
        </w:rPr>
        <w:t xml:space="preserve">Questions and Answers – </w:t>
      </w:r>
    </w:p>
    <w:p w14:paraId="0B88FFF3" w14:textId="77777777" w:rsidR="00353723" w:rsidRPr="00353723" w:rsidRDefault="00353723" w:rsidP="00F23789">
      <w:pPr>
        <w:ind w:left="90" w:firstLine="0"/>
        <w:jc w:val="center"/>
        <w:rPr>
          <w:b/>
          <w:bCs/>
          <w:sz w:val="36"/>
          <w:szCs w:val="36"/>
        </w:rPr>
      </w:pPr>
      <w:r w:rsidRPr="00353723">
        <w:rPr>
          <w:b/>
          <w:bCs/>
          <w:sz w:val="36"/>
          <w:szCs w:val="36"/>
        </w:rPr>
        <w:t>Investigate Alma Analytics for Acquisitions</w:t>
      </w:r>
    </w:p>
    <w:p w14:paraId="21CFC1E1" w14:textId="77777777" w:rsidR="00353723" w:rsidRDefault="00353723" w:rsidP="00F23789">
      <w:pPr>
        <w:ind w:left="90" w:firstLine="0"/>
      </w:pPr>
    </w:p>
    <w:p w14:paraId="3A4D9BD9" w14:textId="77777777" w:rsidR="00353723" w:rsidRDefault="00353723" w:rsidP="00F23789">
      <w:pPr>
        <w:ind w:left="90" w:firstLine="0"/>
      </w:pPr>
    </w:p>
    <w:p w14:paraId="458AF1CD" w14:textId="3A9852C7" w:rsidR="00353723" w:rsidRDefault="00780CE6" w:rsidP="00F23789">
      <w:pPr>
        <w:ind w:left="90" w:firstLine="0"/>
        <w:rPr>
          <w:b/>
          <w:bCs/>
        </w:rPr>
      </w:pPr>
      <w:r>
        <w:rPr>
          <w:b/>
          <w:bCs/>
        </w:rPr>
        <w:t>W</w:t>
      </w:r>
      <w:r w:rsidR="00353723" w:rsidRPr="00353723">
        <w:rPr>
          <w:b/>
          <w:bCs/>
        </w:rPr>
        <w:t xml:space="preserve">here </w:t>
      </w:r>
      <w:r>
        <w:rPr>
          <w:b/>
          <w:bCs/>
        </w:rPr>
        <w:t>can I find the example reports from this presentation</w:t>
      </w:r>
      <w:r w:rsidR="00353723" w:rsidRPr="00353723">
        <w:rPr>
          <w:b/>
          <w:bCs/>
        </w:rPr>
        <w:t>?</w:t>
      </w:r>
    </w:p>
    <w:p w14:paraId="7E6B0F46" w14:textId="77777777" w:rsidR="00353723" w:rsidRDefault="00353723" w:rsidP="00F23789">
      <w:pPr>
        <w:ind w:left="90" w:firstLine="0"/>
      </w:pPr>
    </w:p>
    <w:p w14:paraId="6C35ED68" w14:textId="4883F741" w:rsidR="00353723" w:rsidRDefault="00306386" w:rsidP="00F23789">
      <w:pPr>
        <w:ind w:left="90" w:firstLine="0"/>
      </w:pPr>
      <w:r>
        <w:t xml:space="preserve">The example reports </w:t>
      </w:r>
      <w:r w:rsidR="00353723">
        <w:t xml:space="preserve">we are looking at </w:t>
      </w:r>
      <w:r>
        <w:t xml:space="preserve">in this session can all </w:t>
      </w:r>
      <w:r w:rsidR="00353723">
        <w:t>be found under this "Community" folder: Shared Folders/Community/Reports/Shared Reports/Knowledge Days 2020/Acquisitions</w:t>
      </w:r>
    </w:p>
    <w:p w14:paraId="6BE1AE15" w14:textId="77777777" w:rsidR="00353723" w:rsidRDefault="00353723" w:rsidP="00F23789">
      <w:pPr>
        <w:ind w:left="90" w:firstLine="0"/>
      </w:pPr>
    </w:p>
    <w:p w14:paraId="3B45C727" w14:textId="58977465" w:rsidR="004F2414" w:rsidRDefault="00780CE6" w:rsidP="00F23789">
      <w:pPr>
        <w:ind w:left="90" w:firstLine="0"/>
      </w:pPr>
      <w:r>
        <w:t>Unfortunately,</w:t>
      </w:r>
      <w:r w:rsidR="00034216">
        <w:t xml:space="preserve"> these example reports were accidentally removed and had to be added again</w:t>
      </w:r>
      <w:r w:rsidR="009833B2">
        <w:t>, so they will not appear in this folder until the Community folders are synchronized again. This is expected to happen by the end of the day on Friday, May 11</w:t>
      </w:r>
      <w:r w:rsidR="009833B2" w:rsidRPr="009833B2">
        <w:rPr>
          <w:vertAlign w:val="superscript"/>
        </w:rPr>
        <w:t>th</w:t>
      </w:r>
      <w:r w:rsidR="004F2414">
        <w:t xml:space="preserve">. In the meantime, we have step-by-step instructions for re-creating these reports in the accompanying document for this session. You can find that document from this page: </w:t>
      </w:r>
      <w:hyperlink r:id="rId9" w:history="1">
        <w:r w:rsidR="009833B2" w:rsidRPr="00E727D3">
          <w:rPr>
            <w:rStyle w:val="Hyperlink"/>
          </w:rPr>
          <w:t>https://knowledge.exlibrisgroup.com/Cross_Product/Conferences_and_Seminars/Knowledge_Days_-_ELUNA/2020_Knowledge_Days</w:t>
        </w:r>
      </w:hyperlink>
    </w:p>
    <w:p w14:paraId="7EF5E89F" w14:textId="77777777" w:rsidR="004F2414" w:rsidRDefault="004F2414" w:rsidP="00F23789">
      <w:pPr>
        <w:ind w:left="90" w:firstLine="0"/>
      </w:pPr>
    </w:p>
    <w:p w14:paraId="3AEA2A93" w14:textId="77777777" w:rsidR="00353723" w:rsidRDefault="00353723" w:rsidP="00F23789">
      <w:pPr>
        <w:ind w:left="90" w:firstLine="0"/>
      </w:pPr>
    </w:p>
    <w:p w14:paraId="40A9E22B" w14:textId="57E9138A" w:rsidR="00353723" w:rsidRDefault="004F2414" w:rsidP="00F23789">
      <w:pPr>
        <w:ind w:left="90" w:firstLine="0"/>
        <w:rPr>
          <w:b/>
          <w:bCs/>
        </w:rPr>
      </w:pPr>
      <w:r w:rsidRPr="00B468D3">
        <w:t>I</w:t>
      </w:r>
      <w:r w:rsidR="00353723" w:rsidRPr="00B468D3">
        <w:rPr>
          <w:b/>
          <w:bCs/>
        </w:rPr>
        <w:t xml:space="preserve">s there a way to set up the Subscription Cost Change where instead of telling it FY20 and FY19, we say Current FY and previous FY and then </w:t>
      </w:r>
      <w:r w:rsidR="00B468D3" w:rsidRPr="00B468D3">
        <w:rPr>
          <w:b/>
          <w:bCs/>
        </w:rPr>
        <w:t>do not</w:t>
      </w:r>
      <w:r w:rsidR="00353723" w:rsidRPr="00B468D3">
        <w:rPr>
          <w:b/>
          <w:bCs/>
        </w:rPr>
        <w:t xml:space="preserve"> have to edit it (or recreate it) each FY?</w:t>
      </w:r>
    </w:p>
    <w:p w14:paraId="35A5D37F" w14:textId="35AF6C81" w:rsidR="00B468D3" w:rsidRDefault="00B468D3" w:rsidP="00F23789">
      <w:pPr>
        <w:ind w:left="90" w:firstLine="0"/>
      </w:pPr>
    </w:p>
    <w:p w14:paraId="25E261A3" w14:textId="3DCEC94A" w:rsidR="00B468D3" w:rsidRPr="00B468D3" w:rsidRDefault="00B468D3" w:rsidP="00F23789">
      <w:pPr>
        <w:ind w:left="90" w:firstLine="0"/>
      </w:pPr>
      <w:r>
        <w:t xml:space="preserve">Yes, this is possible and you can still follow the same steps as in our example: just use </w:t>
      </w:r>
      <w:r w:rsidRPr="00B468D3">
        <w:t>Fiscal Period Filter</w:t>
      </w:r>
      <w:r>
        <w:t xml:space="preserve"> instead of Fiscal Period Description and use “</w:t>
      </w:r>
      <w:r w:rsidRPr="00B468D3">
        <w:t>Current Fiscal Year</w:t>
      </w:r>
      <w:r>
        <w:t>” and “</w:t>
      </w:r>
      <w:r w:rsidRPr="00B468D3">
        <w:t>Previous Fiscal Year</w:t>
      </w:r>
      <w:r>
        <w:t>” instead of “FY2020” and “FY2019” respectively.</w:t>
      </w:r>
    </w:p>
    <w:p w14:paraId="5056574C" w14:textId="77777777" w:rsidR="00353723" w:rsidRDefault="00353723" w:rsidP="00F23789">
      <w:pPr>
        <w:ind w:left="90" w:firstLine="0"/>
      </w:pPr>
    </w:p>
    <w:p w14:paraId="1B5FE9FC" w14:textId="77777777" w:rsidR="00353723" w:rsidRDefault="00353723" w:rsidP="00F23789">
      <w:pPr>
        <w:ind w:left="90" w:firstLine="0"/>
      </w:pPr>
      <w:r w:rsidRPr="00353723">
        <w:rPr>
          <w:b/>
          <w:bCs/>
        </w:rPr>
        <w:t xml:space="preserve">Can you provide a brief explanation of the difference between the different types of title in the bibliographic details section (e.g., Title (Complete) vs Title </w:t>
      </w:r>
      <w:proofErr w:type="gramStart"/>
      <w:r w:rsidRPr="00353723">
        <w:rPr>
          <w:b/>
          <w:bCs/>
        </w:rPr>
        <w:t>vs Title (Normalized)</w:t>
      </w:r>
      <w:proofErr w:type="gramEnd"/>
    </w:p>
    <w:p w14:paraId="49A02730" w14:textId="77777777" w:rsidR="00353723" w:rsidRDefault="00353723" w:rsidP="00F23789">
      <w:pPr>
        <w:ind w:left="90" w:firstLine="0"/>
      </w:pPr>
    </w:p>
    <w:p w14:paraId="0EB09D4C" w14:textId="19FA9E2C" w:rsidR="00353723" w:rsidRDefault="007132C5" w:rsidP="00F23789">
      <w:pPr>
        <w:ind w:left="90" w:firstLine="0"/>
      </w:pPr>
      <w:r>
        <w:t xml:space="preserve">Please see the following article for an explanation of the </w:t>
      </w:r>
      <w:r w:rsidR="004F2414">
        <w:t>differences between the Title, Title (Complete) and Title (Normalized) fields</w:t>
      </w:r>
      <w:r>
        <w:t>, as well as other fields available in the Bibliographic Details folder</w:t>
      </w:r>
      <w:r w:rsidR="004F2414">
        <w:t xml:space="preserve">: </w:t>
      </w:r>
      <w:hyperlink r:id="rId10" w:history="1">
        <w:r w:rsidR="004F2414" w:rsidRPr="00A66B90">
          <w:rPr>
            <w:rStyle w:val="Hyperlink"/>
          </w:rPr>
          <w:t>https://knowledge.exlibrisgroup.com/Alma/Product_Documentation/010Alma_Online_Help_(English)/080Analytics/080Shared_Dimensions/010Bibliographic_Details</w:t>
        </w:r>
      </w:hyperlink>
      <w:r w:rsidR="004F2414">
        <w:t xml:space="preserve"> </w:t>
      </w:r>
    </w:p>
    <w:p w14:paraId="288F25EE" w14:textId="77777777" w:rsidR="00353723" w:rsidRDefault="00353723" w:rsidP="00F23789">
      <w:pPr>
        <w:ind w:left="90" w:firstLine="0"/>
      </w:pPr>
    </w:p>
    <w:p w14:paraId="16AEF394" w14:textId="77777777" w:rsidR="00353723" w:rsidRDefault="00353723" w:rsidP="00F23789">
      <w:pPr>
        <w:ind w:left="90" w:firstLine="0"/>
      </w:pPr>
    </w:p>
    <w:p w14:paraId="50C33F9E" w14:textId="363C693F" w:rsidR="00353723" w:rsidRDefault="00353723" w:rsidP="00F23789">
      <w:pPr>
        <w:ind w:left="90" w:firstLine="0"/>
      </w:pPr>
      <w:r w:rsidRPr="004F2414">
        <w:rPr>
          <w:b/>
          <w:bCs/>
        </w:rPr>
        <w:t>Where do we find the SQL codes lik</w:t>
      </w:r>
      <w:r w:rsidR="002F6689">
        <w:rPr>
          <w:b/>
          <w:bCs/>
        </w:rPr>
        <w:t>e</w:t>
      </w:r>
      <w:r w:rsidRPr="004F2414">
        <w:rPr>
          <w:b/>
          <w:bCs/>
        </w:rPr>
        <w:t xml:space="preserve"> </w:t>
      </w:r>
      <w:proofErr w:type="spellStart"/>
      <w:r w:rsidRPr="004F2414">
        <w:rPr>
          <w:b/>
          <w:bCs/>
        </w:rPr>
        <w:t>TSI_Day</w:t>
      </w:r>
      <w:proofErr w:type="spellEnd"/>
      <w:r w:rsidRPr="004F2414">
        <w:rPr>
          <w:b/>
          <w:bCs/>
        </w:rPr>
        <w:t>?</w:t>
      </w:r>
    </w:p>
    <w:p w14:paraId="6D6C7BD8" w14:textId="77777777" w:rsidR="00353723" w:rsidRDefault="00353723" w:rsidP="00F23789">
      <w:pPr>
        <w:ind w:left="90" w:firstLine="0"/>
      </w:pPr>
    </w:p>
    <w:p w14:paraId="75D7F970" w14:textId="68D564E1" w:rsidR="00353723" w:rsidRDefault="004F2414" w:rsidP="00F23789">
      <w:pPr>
        <w:ind w:left="90" w:firstLine="0"/>
      </w:pPr>
      <w:r>
        <w:t>A list of the</w:t>
      </w:r>
      <w:r w:rsidR="007132C5">
        <w:t xml:space="preserve"> available</w:t>
      </w:r>
      <w:r>
        <w:t xml:space="preserve"> SQL codes such as SQL_TSI_DAY can be found in this Oracle documentation</w:t>
      </w:r>
      <w:r w:rsidR="007132C5">
        <w:t xml:space="preserve"> under the </w:t>
      </w:r>
      <w:r w:rsidR="007132C5" w:rsidRPr="007132C5">
        <w:t>TIMESTAMPADD</w:t>
      </w:r>
      <w:r w:rsidR="007132C5">
        <w:t xml:space="preserve"> section</w:t>
      </w:r>
      <w:r>
        <w:t xml:space="preserve">: </w:t>
      </w:r>
      <w:hyperlink r:id="rId11" w:anchor="BIEUG555" w:history="1">
        <w:r w:rsidRPr="00A66B90">
          <w:rPr>
            <w:rStyle w:val="Hyperlink"/>
          </w:rPr>
          <w:t>https://docs.oracle.com/cd/E21764_01/bi.1111/e10544/appsql.htm#BIEUG555</w:t>
        </w:r>
      </w:hyperlink>
      <w:r>
        <w:t xml:space="preserve"> </w:t>
      </w:r>
    </w:p>
    <w:p w14:paraId="79893425" w14:textId="77777777" w:rsidR="00353723" w:rsidRDefault="00353723" w:rsidP="00F23789">
      <w:pPr>
        <w:ind w:left="90" w:firstLine="0"/>
      </w:pPr>
    </w:p>
    <w:p w14:paraId="1FA27664" w14:textId="77777777" w:rsidR="00353723" w:rsidRDefault="00353723" w:rsidP="00F23789">
      <w:pPr>
        <w:ind w:left="90" w:firstLine="0"/>
      </w:pPr>
    </w:p>
    <w:p w14:paraId="36A4930D" w14:textId="70950D7C" w:rsidR="00353723" w:rsidRDefault="004F2414" w:rsidP="00F23789">
      <w:pPr>
        <w:ind w:left="90" w:firstLine="0"/>
      </w:pPr>
      <w:r>
        <w:rPr>
          <w:b/>
          <w:bCs/>
        </w:rPr>
        <w:t>C</w:t>
      </w:r>
      <w:r w:rsidR="00353723" w:rsidRPr="004F2414">
        <w:rPr>
          <w:b/>
          <w:bCs/>
        </w:rPr>
        <w:t xml:space="preserve">an this be turned into a dashboard without starting over and recreating the </w:t>
      </w:r>
      <w:r w:rsidRPr="004F2414">
        <w:rPr>
          <w:b/>
          <w:bCs/>
        </w:rPr>
        <w:t>query</w:t>
      </w:r>
      <w:r w:rsidR="00353723" w:rsidRPr="004F2414">
        <w:rPr>
          <w:b/>
          <w:bCs/>
        </w:rPr>
        <w:t>?</w:t>
      </w:r>
    </w:p>
    <w:p w14:paraId="62AA2074" w14:textId="2634A59A" w:rsidR="00353723" w:rsidRDefault="00353723" w:rsidP="00F23789">
      <w:pPr>
        <w:ind w:left="90" w:firstLine="0"/>
      </w:pPr>
    </w:p>
    <w:p w14:paraId="4CC1BEB7" w14:textId="577E6E05" w:rsidR="004F2414" w:rsidRDefault="004F2414" w:rsidP="00F23789">
      <w:pPr>
        <w:ind w:left="90" w:firstLine="0"/>
      </w:pPr>
      <w:r>
        <w:t xml:space="preserve">It is possible to add the report to a dashboard without needing to re-create the query. Please see this article for more information: </w:t>
      </w:r>
      <w:hyperlink r:id="rId12" w:history="1">
        <w:r w:rsidRPr="00A66B90">
          <w:rPr>
            <w:rStyle w:val="Hyperlink"/>
          </w:rPr>
          <w:t>https://knowledge.exlibrisgroup.com/Alma/Product_Documentation/010Alma_Online_Help_(English)/080Analytics/010Introduction/The_Basics_of_Working_with_Analytics/060Creating_a_Dashboard</w:t>
        </w:r>
      </w:hyperlink>
      <w:r>
        <w:t xml:space="preserve"> </w:t>
      </w:r>
    </w:p>
    <w:p w14:paraId="33ABEDF7" w14:textId="43F1607A" w:rsidR="00353723" w:rsidRDefault="00353723" w:rsidP="00F23789">
      <w:pPr>
        <w:ind w:left="90" w:firstLine="0"/>
      </w:pPr>
    </w:p>
    <w:p w14:paraId="1E0F132C" w14:textId="77777777" w:rsidR="002F6689" w:rsidRDefault="002F6689" w:rsidP="00F23789">
      <w:pPr>
        <w:ind w:left="90" w:firstLine="0"/>
      </w:pPr>
    </w:p>
    <w:p w14:paraId="37C1D5DE" w14:textId="77777777" w:rsidR="005E2AB3" w:rsidRDefault="005E2AB3" w:rsidP="00F23789">
      <w:pPr>
        <w:ind w:left="90" w:firstLine="0"/>
        <w:rPr>
          <w:b/>
          <w:bCs/>
          <w:color w:val="FF0000"/>
        </w:rPr>
      </w:pPr>
    </w:p>
    <w:p w14:paraId="0B3298D5" w14:textId="2236809D" w:rsidR="00353723" w:rsidRPr="00793C8B" w:rsidRDefault="004F2414" w:rsidP="00F23789">
      <w:pPr>
        <w:ind w:left="90" w:firstLine="0"/>
        <w:rPr>
          <w:b/>
          <w:bCs/>
        </w:rPr>
      </w:pPr>
      <w:r w:rsidRPr="00793C8B">
        <w:rPr>
          <w:b/>
          <w:bCs/>
        </w:rPr>
        <w:t>C</w:t>
      </w:r>
      <w:r w:rsidR="00353723" w:rsidRPr="00793C8B">
        <w:rPr>
          <w:b/>
          <w:bCs/>
        </w:rPr>
        <w:t xml:space="preserve">an you show us how to get the RSS feeds?   </w:t>
      </w:r>
    </w:p>
    <w:p w14:paraId="09CEE969" w14:textId="77777777" w:rsidR="00783D72" w:rsidRDefault="00783D72" w:rsidP="00F23789">
      <w:pPr>
        <w:ind w:left="90" w:firstLine="0"/>
        <w:rPr>
          <w:color w:val="000000" w:themeColor="text1"/>
        </w:rPr>
      </w:pPr>
    </w:p>
    <w:p w14:paraId="1FF0CE25" w14:textId="32B37ED6" w:rsidR="005E2AB3" w:rsidRPr="005E2AB3" w:rsidRDefault="00793C8B" w:rsidP="00F23789">
      <w:pPr>
        <w:ind w:left="90" w:firstLine="0"/>
        <w:rPr>
          <w:color w:val="000000" w:themeColor="text1"/>
        </w:rPr>
      </w:pPr>
      <w:r>
        <w:rPr>
          <w:color w:val="000000" w:themeColor="text1"/>
        </w:rPr>
        <w:t>T</w:t>
      </w:r>
      <w:r w:rsidR="005E2AB3">
        <w:rPr>
          <w:color w:val="000000" w:themeColor="text1"/>
        </w:rPr>
        <w:t xml:space="preserve">his question </w:t>
      </w:r>
      <w:r>
        <w:rPr>
          <w:color w:val="000000" w:themeColor="text1"/>
        </w:rPr>
        <w:t>wa</w:t>
      </w:r>
      <w:r w:rsidR="005E2AB3">
        <w:rPr>
          <w:color w:val="000000" w:themeColor="text1"/>
        </w:rPr>
        <w:t xml:space="preserve">s out of scope for </w:t>
      </w:r>
      <w:r>
        <w:rPr>
          <w:color w:val="000000" w:themeColor="text1"/>
        </w:rPr>
        <w:t xml:space="preserve">our </w:t>
      </w:r>
      <w:r w:rsidR="005E2AB3">
        <w:rPr>
          <w:color w:val="000000" w:themeColor="text1"/>
        </w:rPr>
        <w:t>presentation, however</w:t>
      </w:r>
      <w:r>
        <w:rPr>
          <w:color w:val="000000" w:themeColor="text1"/>
        </w:rPr>
        <w:t xml:space="preserve"> we recommend starting with this article</w:t>
      </w:r>
      <w:r w:rsidR="005E2AB3">
        <w:rPr>
          <w:color w:val="000000" w:themeColor="text1"/>
        </w:rPr>
        <w:t xml:space="preserve">: </w:t>
      </w:r>
      <w:hyperlink r:id="rId13" w:history="1">
        <w:r w:rsidR="005E2AB3" w:rsidRPr="00951E00">
          <w:rPr>
            <w:rStyle w:val="Hyperlink"/>
          </w:rPr>
          <w:t>https://knowledge.exlibrisgroup.com/Alma/Knowledge_Articles/Set_Up_RSS_Feed_for_New_Items</w:t>
        </w:r>
      </w:hyperlink>
      <w:r w:rsidR="005E2AB3">
        <w:rPr>
          <w:color w:val="000000" w:themeColor="text1"/>
        </w:rPr>
        <w:t xml:space="preserve"> </w:t>
      </w:r>
    </w:p>
    <w:p w14:paraId="251654C3" w14:textId="386E535F" w:rsidR="00353723" w:rsidRDefault="00353723" w:rsidP="00B853C4">
      <w:pPr>
        <w:ind w:left="0" w:firstLine="0"/>
      </w:pPr>
    </w:p>
    <w:p w14:paraId="7B814810" w14:textId="77777777" w:rsidR="00783D72" w:rsidRPr="00B853C4" w:rsidRDefault="00783D72" w:rsidP="00B853C4">
      <w:pPr>
        <w:ind w:left="0" w:firstLine="0"/>
      </w:pPr>
    </w:p>
    <w:p w14:paraId="74ACD9B5" w14:textId="77777777" w:rsidR="00783D72" w:rsidRPr="00793C8B" w:rsidRDefault="00353723" w:rsidP="00783D72">
      <w:pPr>
        <w:ind w:left="90" w:firstLine="0"/>
      </w:pPr>
      <w:r w:rsidRPr="00793C8B">
        <w:rPr>
          <w:b/>
          <w:bCs/>
        </w:rPr>
        <w:t>Is there a way to query against the MARC directly or do we have to use the columns that have been pulled out (like Title (Complete)) ?</w:t>
      </w:r>
    </w:p>
    <w:p w14:paraId="79F4035A" w14:textId="77777777" w:rsidR="00783D72" w:rsidRDefault="00783D72" w:rsidP="00783D72">
      <w:pPr>
        <w:ind w:left="90" w:firstLine="0"/>
      </w:pPr>
    </w:p>
    <w:p w14:paraId="08AC5675" w14:textId="4EC90AE0" w:rsidR="00353723" w:rsidRDefault="00793C8B" w:rsidP="00F23789">
      <w:pPr>
        <w:ind w:left="90" w:firstLine="0"/>
        <w:rPr>
          <w:color w:val="FF0000"/>
        </w:rPr>
      </w:pPr>
      <w:r>
        <w:t xml:space="preserve">Many MARC record fields have been mapped to Analytics columns and our documentation will often confirm which MARC fields are mapped to Analytics fields (for example, see the Mapping from MARC column of </w:t>
      </w:r>
      <w:hyperlink r:id="rId14" w:anchor="Bibliographic_Details" w:history="1">
        <w:r w:rsidRPr="00793C8B">
          <w:rPr>
            <w:rStyle w:val="Hyperlink"/>
          </w:rPr>
          <w:t>this table in the Physical Items subject area documentation</w:t>
        </w:r>
      </w:hyperlink>
      <w:r>
        <w:t>)</w:t>
      </w:r>
      <w:r w:rsidR="00B853C4">
        <w:t>.</w:t>
      </w:r>
      <w:r>
        <w:t xml:space="preserve"> Since not all MARC fields have been mapped to Analytics fields, we also offer the ability to map up to 10 bibliographic record fields to the Local Param fields and 10 holdings record fields to the Holding Local Param fields. Please see this article for more information: </w:t>
      </w:r>
      <w:hyperlink r:id="rId15" w:history="1">
        <w:r w:rsidRPr="00793C8B">
          <w:rPr>
            <w:rStyle w:val="Hyperlink"/>
          </w:rPr>
          <w:t>https://knowledge.exlibrisgroup.com/Alma/Knowledge_Articles/Add_bibliographic_fields_to_Alma_Analytics</w:t>
        </w:r>
      </w:hyperlink>
    </w:p>
    <w:p w14:paraId="5EE552D4" w14:textId="77777777" w:rsidR="00783D72" w:rsidRPr="00F23789" w:rsidRDefault="00783D72" w:rsidP="00F23789">
      <w:pPr>
        <w:ind w:left="90" w:firstLine="0"/>
        <w:rPr>
          <w:color w:val="FF0000"/>
        </w:rPr>
      </w:pPr>
    </w:p>
    <w:p w14:paraId="567D7F00" w14:textId="18B9043E" w:rsidR="00353723" w:rsidRPr="00793C8B" w:rsidRDefault="00353723" w:rsidP="00F23789">
      <w:pPr>
        <w:ind w:left="90" w:firstLine="0"/>
        <w:rPr>
          <w:b/>
          <w:bCs/>
        </w:rPr>
      </w:pPr>
      <w:r w:rsidRPr="00793C8B">
        <w:rPr>
          <w:b/>
          <w:bCs/>
        </w:rPr>
        <w:t>Is there a way to add cost of material to the physical material report?</w:t>
      </w:r>
    </w:p>
    <w:p w14:paraId="05AA943D" w14:textId="77777777" w:rsidR="00783D72" w:rsidRDefault="00783D72" w:rsidP="00F23789">
      <w:pPr>
        <w:ind w:left="90" w:firstLine="0"/>
      </w:pPr>
    </w:p>
    <w:p w14:paraId="38C6B317" w14:textId="21319194" w:rsidR="00353723" w:rsidRPr="00B853C4" w:rsidRDefault="00B853C4" w:rsidP="00F23789">
      <w:pPr>
        <w:ind w:left="90" w:firstLine="0"/>
      </w:pPr>
      <w:r>
        <w:t>Yes, by adding</w:t>
      </w:r>
      <w:r w:rsidR="008235EA">
        <w:t xml:space="preserve"> the column for</w:t>
      </w:r>
      <w:r>
        <w:t xml:space="preserve"> </w:t>
      </w:r>
      <w:r>
        <w:rPr>
          <w:b/>
          <w:bCs/>
        </w:rPr>
        <w:t>Net Price</w:t>
      </w:r>
      <w:r>
        <w:t xml:space="preserve"> from the </w:t>
      </w:r>
      <w:r w:rsidRPr="00B853C4">
        <w:rPr>
          <w:i/>
          <w:iCs/>
        </w:rPr>
        <w:t>PO</w:t>
      </w:r>
      <w:r>
        <w:rPr>
          <w:i/>
          <w:iCs/>
        </w:rPr>
        <w:t xml:space="preserve"> Line </w:t>
      </w:r>
      <w:r>
        <w:t>folder.</w:t>
      </w:r>
    </w:p>
    <w:p w14:paraId="39D13F57" w14:textId="1EA78927" w:rsidR="00353723" w:rsidRDefault="00353723" w:rsidP="00F23789">
      <w:pPr>
        <w:ind w:left="90" w:firstLine="0"/>
        <w:rPr>
          <w:color w:val="FF0000"/>
        </w:rPr>
      </w:pPr>
    </w:p>
    <w:p w14:paraId="2B052C1C" w14:textId="45819EE1" w:rsidR="00353723" w:rsidRPr="00793C8B" w:rsidRDefault="00353723" w:rsidP="00F23789">
      <w:pPr>
        <w:ind w:left="90" w:firstLine="0"/>
        <w:rPr>
          <w:b/>
          <w:bCs/>
        </w:rPr>
      </w:pPr>
      <w:r w:rsidRPr="00793C8B">
        <w:rPr>
          <w:b/>
          <w:bCs/>
        </w:rPr>
        <w:t>Are these specific reports available for us to copy and try using our data? Thanks!</w:t>
      </w:r>
    </w:p>
    <w:p w14:paraId="000518D0" w14:textId="77777777" w:rsidR="00783D72" w:rsidRDefault="00783D72" w:rsidP="002F6689">
      <w:pPr>
        <w:ind w:left="90" w:firstLine="0"/>
      </w:pPr>
    </w:p>
    <w:p w14:paraId="4D0E9528" w14:textId="7066CE62" w:rsidR="00793C8B" w:rsidRDefault="00793C8B" w:rsidP="00793C8B">
      <w:pPr>
        <w:ind w:left="90" w:firstLine="0"/>
      </w:pPr>
      <w:r>
        <w:t>Yes! The example reports will all be made available under this "Community" folder: Shared Folders/Community/Reports/Shared Reports/Knowledge Days 2020/Acquisitions. When you run the reports from your environment the report will display your data rather than the data shown during the presentation from our training environment.</w:t>
      </w:r>
    </w:p>
    <w:p w14:paraId="437CF506" w14:textId="77777777" w:rsidR="00793C8B" w:rsidRDefault="00793C8B" w:rsidP="00793C8B">
      <w:pPr>
        <w:ind w:left="90" w:firstLine="0"/>
      </w:pPr>
    </w:p>
    <w:p w14:paraId="2774E922" w14:textId="0B2FD817" w:rsidR="00353723" w:rsidRPr="00793C8B" w:rsidRDefault="00353723" w:rsidP="00F23789">
      <w:pPr>
        <w:ind w:left="90" w:firstLine="0"/>
      </w:pPr>
      <w:r w:rsidRPr="00793C8B">
        <w:rPr>
          <w:b/>
          <w:bCs/>
        </w:rPr>
        <w:t>Is it possible to add the item price for these from the expenditures table (and not the price in the item</w:t>
      </w:r>
      <w:proofErr w:type="gramStart"/>
      <w:r w:rsidRPr="00793C8B">
        <w:rPr>
          <w:b/>
          <w:bCs/>
        </w:rPr>
        <w:t>)</w:t>
      </w:r>
      <w:proofErr w:type="gramEnd"/>
    </w:p>
    <w:p w14:paraId="28D38EB5" w14:textId="77777777" w:rsidR="00783D72" w:rsidRDefault="00783D72" w:rsidP="000044F0">
      <w:pPr>
        <w:ind w:left="90" w:firstLine="0"/>
      </w:pPr>
    </w:p>
    <w:p w14:paraId="4B20752C" w14:textId="2793725E" w:rsidR="00353723" w:rsidRDefault="000044F0" w:rsidP="000044F0">
      <w:pPr>
        <w:ind w:left="90" w:firstLine="0"/>
      </w:pPr>
      <w:r>
        <w:t xml:space="preserve">Yes, by adding the column for </w:t>
      </w:r>
      <w:r>
        <w:rPr>
          <w:b/>
          <w:bCs/>
        </w:rPr>
        <w:t>Net Price</w:t>
      </w:r>
      <w:r>
        <w:t xml:space="preserve"> from the </w:t>
      </w:r>
      <w:r w:rsidRPr="00B853C4">
        <w:rPr>
          <w:i/>
          <w:iCs/>
        </w:rPr>
        <w:t>PO</w:t>
      </w:r>
      <w:r>
        <w:rPr>
          <w:i/>
          <w:iCs/>
        </w:rPr>
        <w:t xml:space="preserve"> Line </w:t>
      </w:r>
      <w:r>
        <w:t>folder.</w:t>
      </w:r>
    </w:p>
    <w:p w14:paraId="5E974F6C" w14:textId="6DCEC2D1" w:rsidR="00B31CE5" w:rsidRDefault="00B31CE5" w:rsidP="000044F0">
      <w:pPr>
        <w:ind w:left="90" w:firstLine="0"/>
      </w:pPr>
    </w:p>
    <w:p w14:paraId="3014AAF0" w14:textId="39974B2D" w:rsidR="00B31CE5" w:rsidRDefault="00B31CE5" w:rsidP="000044F0">
      <w:pPr>
        <w:ind w:left="90" w:firstLine="0"/>
      </w:pPr>
      <w:r w:rsidRPr="00B31CE5">
        <w:rPr>
          <w:noProof/>
        </w:rPr>
        <w:drawing>
          <wp:inline distT="0" distB="0" distL="0" distR="0" wp14:anchorId="1CDC7C47" wp14:editId="73B31E1E">
            <wp:extent cx="6858000" cy="1636395"/>
            <wp:effectExtent l="19050" t="19050" r="19050" b="209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636395"/>
                    </a:xfrm>
                    <a:prstGeom prst="rect">
                      <a:avLst/>
                    </a:prstGeom>
                    <a:ln>
                      <a:solidFill>
                        <a:schemeClr val="tx1"/>
                      </a:solidFill>
                    </a:ln>
                  </pic:spPr>
                </pic:pic>
              </a:graphicData>
            </a:graphic>
          </wp:inline>
        </w:drawing>
      </w:r>
    </w:p>
    <w:p w14:paraId="7C2BD4EF" w14:textId="5ADA0FD0" w:rsidR="00B31CE5" w:rsidRDefault="00B31CE5" w:rsidP="000044F0">
      <w:pPr>
        <w:ind w:left="90" w:firstLine="0"/>
      </w:pPr>
    </w:p>
    <w:p w14:paraId="7A9D953F" w14:textId="5C43BD85" w:rsidR="00B31CE5" w:rsidRPr="000044F0" w:rsidRDefault="00B31CE5" w:rsidP="000044F0">
      <w:pPr>
        <w:ind w:left="90" w:firstLine="0"/>
      </w:pPr>
      <w:r w:rsidRPr="00B31CE5">
        <w:rPr>
          <w:noProof/>
        </w:rPr>
        <w:lastRenderedPageBreak/>
        <w:drawing>
          <wp:inline distT="0" distB="0" distL="0" distR="0" wp14:anchorId="2DCA76ED" wp14:editId="4F8E611F">
            <wp:extent cx="6858000" cy="1397635"/>
            <wp:effectExtent l="19050" t="19050" r="1905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1397635"/>
                    </a:xfrm>
                    <a:prstGeom prst="rect">
                      <a:avLst/>
                    </a:prstGeom>
                    <a:ln>
                      <a:solidFill>
                        <a:schemeClr val="tx1"/>
                      </a:solidFill>
                    </a:ln>
                  </pic:spPr>
                </pic:pic>
              </a:graphicData>
            </a:graphic>
          </wp:inline>
        </w:drawing>
      </w:r>
    </w:p>
    <w:p w14:paraId="6826832D" w14:textId="735D8093" w:rsidR="00353723" w:rsidRDefault="00353723" w:rsidP="00F23789">
      <w:pPr>
        <w:ind w:left="90" w:firstLine="0"/>
        <w:rPr>
          <w:color w:val="FF0000"/>
        </w:rPr>
      </w:pPr>
    </w:p>
    <w:p w14:paraId="288341D8" w14:textId="4E7F781D" w:rsidR="00353723" w:rsidRPr="006E193A" w:rsidRDefault="00353723" w:rsidP="00F23789">
      <w:pPr>
        <w:ind w:left="90" w:firstLine="0"/>
      </w:pPr>
      <w:r w:rsidRPr="006E193A">
        <w:rPr>
          <w:b/>
          <w:bCs/>
        </w:rPr>
        <w:t>Is there a way to just get a count of these, instead of a list?</w:t>
      </w:r>
    </w:p>
    <w:p w14:paraId="4E81D5E8" w14:textId="374D28D8" w:rsidR="00353723" w:rsidRDefault="001031F7" w:rsidP="00F23789">
      <w:pPr>
        <w:ind w:left="90" w:firstLine="0"/>
      </w:pPr>
      <w:r>
        <w:t>Yes, it possible to get a count only. See the screen captures below for how I modified the analysis.</w:t>
      </w:r>
    </w:p>
    <w:p w14:paraId="2624C6D4" w14:textId="6BEC7D1E" w:rsidR="001031F7" w:rsidRDefault="001031F7" w:rsidP="00F23789">
      <w:pPr>
        <w:ind w:left="90" w:firstLine="0"/>
      </w:pPr>
    </w:p>
    <w:p w14:paraId="6A88DA63" w14:textId="3207268C" w:rsidR="001031F7" w:rsidRDefault="001031F7" w:rsidP="00F23789">
      <w:pPr>
        <w:ind w:left="90" w:firstLine="0"/>
      </w:pPr>
      <w:r w:rsidRPr="001031F7">
        <w:rPr>
          <w:noProof/>
        </w:rPr>
        <w:drawing>
          <wp:inline distT="0" distB="0" distL="0" distR="0" wp14:anchorId="34923E93" wp14:editId="4EEB401B">
            <wp:extent cx="5943600" cy="1670050"/>
            <wp:effectExtent l="19050" t="19050" r="1905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670050"/>
                    </a:xfrm>
                    <a:prstGeom prst="rect">
                      <a:avLst/>
                    </a:prstGeom>
                    <a:ln>
                      <a:solidFill>
                        <a:schemeClr val="tx1"/>
                      </a:solidFill>
                    </a:ln>
                  </pic:spPr>
                </pic:pic>
              </a:graphicData>
            </a:graphic>
          </wp:inline>
        </w:drawing>
      </w:r>
    </w:p>
    <w:p w14:paraId="575EA16C" w14:textId="0F3EDA91" w:rsidR="001031F7" w:rsidRDefault="001031F7" w:rsidP="00F23789">
      <w:pPr>
        <w:ind w:left="90" w:firstLine="0"/>
      </w:pPr>
    </w:p>
    <w:p w14:paraId="7953974F" w14:textId="27EDD983" w:rsidR="001031F7" w:rsidRPr="000044F0" w:rsidRDefault="001031F7" w:rsidP="00F23789">
      <w:pPr>
        <w:ind w:left="90" w:firstLine="0"/>
      </w:pPr>
      <w:r w:rsidRPr="001031F7">
        <w:rPr>
          <w:noProof/>
        </w:rPr>
        <w:drawing>
          <wp:inline distT="0" distB="0" distL="0" distR="0" wp14:anchorId="6ABE4962" wp14:editId="79BCA88D">
            <wp:extent cx="5943600" cy="1827530"/>
            <wp:effectExtent l="19050" t="19050" r="1905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827530"/>
                    </a:xfrm>
                    <a:prstGeom prst="rect">
                      <a:avLst/>
                    </a:prstGeom>
                    <a:ln>
                      <a:solidFill>
                        <a:schemeClr val="tx1"/>
                      </a:solidFill>
                    </a:ln>
                  </pic:spPr>
                </pic:pic>
              </a:graphicData>
            </a:graphic>
          </wp:inline>
        </w:drawing>
      </w:r>
    </w:p>
    <w:p w14:paraId="6BDB9FC3" w14:textId="43785229" w:rsidR="00353723" w:rsidRDefault="00353723" w:rsidP="00F23789">
      <w:pPr>
        <w:ind w:left="90" w:firstLine="0"/>
        <w:rPr>
          <w:color w:val="FF0000"/>
        </w:rPr>
      </w:pPr>
    </w:p>
    <w:p w14:paraId="79F4C12A" w14:textId="77777777" w:rsidR="00783D72" w:rsidRPr="00F23789" w:rsidRDefault="00783D72" w:rsidP="00F23789">
      <w:pPr>
        <w:ind w:left="90" w:firstLine="0"/>
        <w:rPr>
          <w:color w:val="FF0000"/>
        </w:rPr>
      </w:pPr>
    </w:p>
    <w:p w14:paraId="638CF825" w14:textId="1D306200" w:rsidR="00353723" w:rsidRPr="006E193A" w:rsidRDefault="00353723" w:rsidP="00F23789">
      <w:pPr>
        <w:ind w:left="90" w:firstLine="0"/>
      </w:pPr>
      <w:r w:rsidRPr="006E193A">
        <w:rPr>
          <w:b/>
          <w:bCs/>
        </w:rPr>
        <w:t>On the first report I did not understand how the percentage column what changed from 2 empty columns to one. Is there documentation for this?</w:t>
      </w:r>
    </w:p>
    <w:p w14:paraId="32188A78" w14:textId="3DA35308" w:rsidR="00353723" w:rsidRDefault="00353723" w:rsidP="00F23789">
      <w:pPr>
        <w:ind w:left="90" w:firstLine="0"/>
        <w:rPr>
          <w:color w:val="FF0000"/>
        </w:rPr>
      </w:pPr>
    </w:p>
    <w:p w14:paraId="3DB52D9A" w14:textId="6E423890" w:rsidR="00783D72" w:rsidRDefault="00EA572A" w:rsidP="00F23789">
      <w:pPr>
        <w:ind w:left="90" w:firstLine="0"/>
        <w:rPr>
          <w:color w:val="000000" w:themeColor="text1"/>
        </w:rPr>
      </w:pPr>
      <w:r>
        <w:rPr>
          <w:color w:val="000000" w:themeColor="text1"/>
        </w:rPr>
        <w:t xml:space="preserve">Yes, for more information, see </w:t>
      </w:r>
      <w:hyperlink r:id="rId20" w:anchor="GUID-0C106632-0431-46F7-B0E0-6EA8210EBD67" w:history="1">
        <w:r w:rsidRPr="00951E00">
          <w:rPr>
            <w:rStyle w:val="Hyperlink"/>
          </w:rPr>
          <w:t>https://docs.oracle.com/en/cloud/paas/bi-cloud/bilug/modify-layout-data-views.html#GUID-0C106632-0431-46F7-B0E0-6EA8210EBD67</w:t>
        </w:r>
      </w:hyperlink>
      <w:r>
        <w:rPr>
          <w:color w:val="000000" w:themeColor="text1"/>
        </w:rPr>
        <w:t xml:space="preserve">. </w:t>
      </w:r>
    </w:p>
    <w:p w14:paraId="7D80CDDE" w14:textId="062576D8" w:rsidR="00EA572A" w:rsidRDefault="00EA572A" w:rsidP="00F23789">
      <w:pPr>
        <w:ind w:left="90" w:firstLine="0"/>
        <w:rPr>
          <w:color w:val="000000" w:themeColor="text1"/>
        </w:rPr>
      </w:pPr>
    </w:p>
    <w:p w14:paraId="664CF56A" w14:textId="77777777" w:rsidR="00EA572A" w:rsidRPr="00EA572A" w:rsidRDefault="00EA572A" w:rsidP="00F23789">
      <w:pPr>
        <w:ind w:left="90" w:firstLine="0"/>
        <w:rPr>
          <w:color w:val="000000" w:themeColor="text1"/>
        </w:rPr>
      </w:pPr>
    </w:p>
    <w:p w14:paraId="7284EE10" w14:textId="791E4101" w:rsidR="00353723" w:rsidRPr="006E193A" w:rsidRDefault="00353723" w:rsidP="00F23789">
      <w:pPr>
        <w:ind w:left="90" w:firstLine="0"/>
      </w:pPr>
      <w:r w:rsidRPr="006E193A">
        <w:rPr>
          <w:b/>
          <w:bCs/>
        </w:rPr>
        <w:t>Can you also add the purchase order line number by title?</w:t>
      </w:r>
    </w:p>
    <w:p w14:paraId="1625B93C" w14:textId="77777777" w:rsidR="00783D72" w:rsidRDefault="00783D72" w:rsidP="00F23789">
      <w:pPr>
        <w:ind w:left="90" w:firstLine="0"/>
      </w:pPr>
    </w:p>
    <w:p w14:paraId="70ADDF29" w14:textId="0A2DB281" w:rsidR="00353723" w:rsidRPr="001031F7" w:rsidRDefault="001031F7" w:rsidP="00F23789">
      <w:pPr>
        <w:ind w:left="90" w:firstLine="0"/>
      </w:pPr>
      <w:r>
        <w:t xml:space="preserve">Yes, by adding the column, </w:t>
      </w:r>
      <w:r>
        <w:rPr>
          <w:b/>
          <w:bCs/>
        </w:rPr>
        <w:t>PO Line Reference</w:t>
      </w:r>
      <w:r>
        <w:t xml:space="preserve">, from the </w:t>
      </w:r>
      <w:r>
        <w:rPr>
          <w:i/>
          <w:iCs/>
        </w:rPr>
        <w:t>PO Line</w:t>
      </w:r>
      <w:r>
        <w:t xml:space="preserve"> folder.</w:t>
      </w:r>
      <w:r w:rsidR="0060455A">
        <w:t xml:space="preserve"> See the</w:t>
      </w:r>
    </w:p>
    <w:p w14:paraId="5D389EE0" w14:textId="6033E97D" w:rsidR="001031F7" w:rsidRDefault="001031F7" w:rsidP="00F23789">
      <w:pPr>
        <w:ind w:left="90" w:firstLine="0"/>
      </w:pPr>
    </w:p>
    <w:p w14:paraId="429152C0" w14:textId="16D9ECEE" w:rsidR="001031F7" w:rsidRPr="001031F7" w:rsidRDefault="00EA572A" w:rsidP="00F23789">
      <w:pPr>
        <w:ind w:left="90" w:firstLine="0"/>
      </w:pPr>
      <w:r w:rsidRPr="00EA572A">
        <w:rPr>
          <w:noProof/>
        </w:rPr>
        <w:lastRenderedPageBreak/>
        <w:drawing>
          <wp:inline distT="0" distB="0" distL="0" distR="0" wp14:anchorId="41632D91" wp14:editId="44803927">
            <wp:extent cx="6858000" cy="1586865"/>
            <wp:effectExtent l="19050" t="19050" r="19050" b="133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1586865"/>
                    </a:xfrm>
                    <a:prstGeom prst="rect">
                      <a:avLst/>
                    </a:prstGeom>
                    <a:ln>
                      <a:solidFill>
                        <a:schemeClr val="tx1"/>
                      </a:solidFill>
                    </a:ln>
                  </pic:spPr>
                </pic:pic>
              </a:graphicData>
            </a:graphic>
          </wp:inline>
        </w:drawing>
      </w:r>
    </w:p>
    <w:p w14:paraId="554FB659" w14:textId="061D57F3" w:rsidR="00353723" w:rsidRDefault="00353723" w:rsidP="00F23789">
      <w:pPr>
        <w:ind w:left="90" w:firstLine="0"/>
        <w:rPr>
          <w:color w:val="FF0000"/>
        </w:rPr>
      </w:pPr>
    </w:p>
    <w:p w14:paraId="2EC3C365" w14:textId="6F79DD97" w:rsidR="00EA572A" w:rsidRDefault="00EA572A" w:rsidP="00F23789">
      <w:pPr>
        <w:ind w:left="90" w:firstLine="0"/>
        <w:rPr>
          <w:color w:val="FF0000"/>
        </w:rPr>
      </w:pPr>
      <w:r w:rsidRPr="00EA572A">
        <w:rPr>
          <w:noProof/>
          <w:color w:val="FF0000"/>
        </w:rPr>
        <w:drawing>
          <wp:inline distT="0" distB="0" distL="0" distR="0" wp14:anchorId="3136EF3B" wp14:editId="52BEDE5E">
            <wp:extent cx="6858000" cy="1381125"/>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1381125"/>
                    </a:xfrm>
                    <a:prstGeom prst="rect">
                      <a:avLst/>
                    </a:prstGeom>
                    <a:ln>
                      <a:solidFill>
                        <a:schemeClr val="tx1"/>
                      </a:solidFill>
                    </a:ln>
                  </pic:spPr>
                </pic:pic>
              </a:graphicData>
            </a:graphic>
          </wp:inline>
        </w:drawing>
      </w:r>
    </w:p>
    <w:p w14:paraId="144145CF" w14:textId="77777777" w:rsidR="00783D72" w:rsidRPr="00F23789" w:rsidRDefault="00783D72" w:rsidP="00F23789">
      <w:pPr>
        <w:ind w:left="90" w:firstLine="0"/>
        <w:rPr>
          <w:color w:val="FF0000"/>
        </w:rPr>
      </w:pPr>
    </w:p>
    <w:p w14:paraId="6E13658C" w14:textId="2927DB8C" w:rsidR="00353723" w:rsidRPr="006E193A" w:rsidRDefault="00353723" w:rsidP="00F23789">
      <w:pPr>
        <w:ind w:left="90" w:firstLine="0"/>
      </w:pPr>
      <w:r w:rsidRPr="006E193A">
        <w:rPr>
          <w:b/>
          <w:bCs/>
        </w:rPr>
        <w:t>How do we access the document with the budget summary analysis?</w:t>
      </w:r>
    </w:p>
    <w:p w14:paraId="714EDC1F" w14:textId="77777777" w:rsidR="00783D72" w:rsidRDefault="00783D72" w:rsidP="00F23789">
      <w:pPr>
        <w:ind w:left="90" w:firstLine="0"/>
      </w:pPr>
    </w:p>
    <w:p w14:paraId="792B974E" w14:textId="403FF961" w:rsidR="00353723" w:rsidRDefault="001031F7" w:rsidP="00F23789">
      <w:pPr>
        <w:ind w:left="90" w:firstLine="0"/>
      </w:pPr>
      <w:r>
        <w:t xml:space="preserve">You can access it here: </w:t>
      </w:r>
      <w:hyperlink r:id="rId23" w:history="1">
        <w:r w:rsidRPr="00951E00">
          <w:rPr>
            <w:rStyle w:val="Hyperlink"/>
          </w:rPr>
          <w:t>https://knowledge.exlibrisgroup.com/Cross_Product/Conferences_and_Seminars/Knowledge_Days_-_ELUNA/2020_Knowledge_Days</w:t>
        </w:r>
      </w:hyperlink>
      <w:r>
        <w:t xml:space="preserve">. </w:t>
      </w:r>
    </w:p>
    <w:p w14:paraId="4D2B6BFF" w14:textId="271FC5B5" w:rsidR="001031F7" w:rsidRDefault="001031F7" w:rsidP="00F23789">
      <w:pPr>
        <w:ind w:left="90" w:firstLine="0"/>
      </w:pPr>
    </w:p>
    <w:p w14:paraId="08F06A61" w14:textId="77777777" w:rsidR="00783D72" w:rsidRPr="001031F7" w:rsidRDefault="00783D72" w:rsidP="00F23789">
      <w:pPr>
        <w:ind w:left="90" w:firstLine="0"/>
      </w:pPr>
    </w:p>
    <w:p w14:paraId="18587776" w14:textId="5F67B8C2" w:rsidR="00353723" w:rsidRPr="006E193A" w:rsidRDefault="00353723" w:rsidP="00F23789">
      <w:pPr>
        <w:ind w:left="90" w:firstLine="0"/>
      </w:pPr>
      <w:r w:rsidRPr="006E193A">
        <w:rPr>
          <w:b/>
          <w:bCs/>
        </w:rPr>
        <w:t>How can I produce a subscription cost trends of 5 years in a line chart?  Thanks.</w:t>
      </w:r>
    </w:p>
    <w:p w14:paraId="14EBA18B" w14:textId="47495FDB" w:rsidR="00353723" w:rsidRDefault="00353723" w:rsidP="00F23789">
      <w:pPr>
        <w:ind w:left="90" w:firstLine="0"/>
        <w:rPr>
          <w:color w:val="FF0000"/>
        </w:rPr>
      </w:pPr>
    </w:p>
    <w:p w14:paraId="2BB15A76" w14:textId="050950D6" w:rsidR="00F95257" w:rsidRDefault="005B38B5" w:rsidP="00F23789">
      <w:pPr>
        <w:ind w:left="90" w:firstLine="0"/>
      </w:pPr>
      <w:r>
        <w:t xml:space="preserve">Firstly, the </w:t>
      </w:r>
      <w:r w:rsidR="00A667F5">
        <w:t xml:space="preserve">Fiscal Period Description filter will need to be either removed or changed to include the past 5 years. </w:t>
      </w:r>
      <w:r w:rsidR="005C7039">
        <w:t xml:space="preserve">This will cause the pivot table to show </w:t>
      </w:r>
      <w:proofErr w:type="gramStart"/>
      <w:r w:rsidR="005C7039">
        <w:t>all of</w:t>
      </w:r>
      <w:proofErr w:type="gramEnd"/>
      <w:r w:rsidR="005C7039">
        <w:t xml:space="preserve"> the expenditures </w:t>
      </w:r>
      <w:r w:rsidR="005370DE">
        <w:t>across that time period (note that the % Change will still only be calculating between the two fiscal period input in the column formula).</w:t>
      </w:r>
    </w:p>
    <w:p w14:paraId="516EE327" w14:textId="466102AD" w:rsidR="005370DE" w:rsidRDefault="00622EFF" w:rsidP="00F23789">
      <w:pPr>
        <w:ind w:left="90" w:firstLine="0"/>
      </w:pPr>
      <w:r>
        <w:rPr>
          <w:noProof/>
        </w:rPr>
        <w:drawing>
          <wp:inline distT="0" distB="0" distL="0" distR="0" wp14:anchorId="12B09106" wp14:editId="52BA3B1B">
            <wp:extent cx="6858000" cy="7600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760095"/>
                    </a:xfrm>
                    <a:prstGeom prst="rect">
                      <a:avLst/>
                    </a:prstGeom>
                  </pic:spPr>
                </pic:pic>
              </a:graphicData>
            </a:graphic>
          </wp:inline>
        </w:drawing>
      </w:r>
    </w:p>
    <w:p w14:paraId="65353D81" w14:textId="46856B69" w:rsidR="005370DE" w:rsidRDefault="005370DE" w:rsidP="00F23789">
      <w:pPr>
        <w:ind w:left="90" w:firstLine="0"/>
      </w:pPr>
    </w:p>
    <w:p w14:paraId="0776640E" w14:textId="365CB661" w:rsidR="005370DE" w:rsidRDefault="00622EFF" w:rsidP="00F23789">
      <w:pPr>
        <w:ind w:left="90" w:firstLine="0"/>
      </w:pPr>
      <w:proofErr w:type="gramStart"/>
      <w:r>
        <w:t>You’ll</w:t>
      </w:r>
      <w:proofErr w:type="gramEnd"/>
      <w:r>
        <w:t xml:space="preserve"> then want to </w:t>
      </w:r>
      <w:r w:rsidR="00B61374">
        <w:t>add a new view to the analysis, selecting Graph, then Line Graph.</w:t>
      </w:r>
    </w:p>
    <w:p w14:paraId="1DCD6BCD" w14:textId="6CAD52AA" w:rsidR="00B61374" w:rsidRDefault="00B61374" w:rsidP="00F23789">
      <w:pPr>
        <w:ind w:left="90" w:firstLine="0"/>
      </w:pPr>
    </w:p>
    <w:p w14:paraId="504930A1" w14:textId="169D25A6" w:rsidR="00B61374" w:rsidRDefault="001D1E6F" w:rsidP="00F23789">
      <w:pPr>
        <w:ind w:left="90" w:firstLine="0"/>
      </w:pPr>
      <w:r>
        <w:t xml:space="preserve">While editing the graph view, the % Change field can be moved to the “Excluded” section, since it does not apply to all Fiscal Years and will not </w:t>
      </w:r>
      <w:r w:rsidR="00EB7E42">
        <w:t>show on the graph.</w:t>
      </w:r>
    </w:p>
    <w:p w14:paraId="25BA00BC" w14:textId="6BBB054F" w:rsidR="00EB7E42" w:rsidRDefault="00EB7E42" w:rsidP="00F23789">
      <w:pPr>
        <w:ind w:left="90" w:firstLine="0"/>
      </w:pPr>
    </w:p>
    <w:p w14:paraId="00C79FD0" w14:textId="6257B73C" w:rsidR="00EB7E42" w:rsidRDefault="00EB7E42" w:rsidP="00F23789">
      <w:pPr>
        <w:ind w:left="90" w:firstLine="0"/>
      </w:pPr>
      <w:r>
        <w:t xml:space="preserve">You likely also want to </w:t>
      </w:r>
      <w:r w:rsidR="00983869">
        <w:t xml:space="preserve">select “Title (Complete)” as a Graph Prompt, since </w:t>
      </w:r>
      <w:r w:rsidR="006C342C">
        <w:t xml:space="preserve">displaying </w:t>
      </w:r>
      <w:r w:rsidR="00A60E0D">
        <w:t>lines for each title at the same time will result in a graph that is difficult to read.</w:t>
      </w:r>
    </w:p>
    <w:p w14:paraId="5A1D5CAD" w14:textId="3379378F" w:rsidR="00A60E0D" w:rsidRDefault="00A60E0D" w:rsidP="00F23789">
      <w:pPr>
        <w:ind w:left="90" w:firstLine="0"/>
      </w:pPr>
    </w:p>
    <w:p w14:paraId="4C553334" w14:textId="35496E53" w:rsidR="00A60E0D" w:rsidRDefault="00AC690E" w:rsidP="00F23789">
      <w:pPr>
        <w:ind w:left="90" w:firstLine="0"/>
      </w:pPr>
      <w:r>
        <w:t>Graph configuration:</w:t>
      </w:r>
    </w:p>
    <w:p w14:paraId="5D1A23AB" w14:textId="01FA3B47" w:rsidR="00AC690E" w:rsidRDefault="00AC690E" w:rsidP="00F23789">
      <w:pPr>
        <w:ind w:left="90" w:firstLine="0"/>
      </w:pPr>
      <w:r>
        <w:rPr>
          <w:noProof/>
        </w:rPr>
        <w:lastRenderedPageBreak/>
        <w:drawing>
          <wp:inline distT="0" distB="0" distL="0" distR="0" wp14:anchorId="77C0C66A" wp14:editId="6C46F2D0">
            <wp:extent cx="6858000" cy="2409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2409825"/>
                    </a:xfrm>
                    <a:prstGeom prst="rect">
                      <a:avLst/>
                    </a:prstGeom>
                  </pic:spPr>
                </pic:pic>
              </a:graphicData>
            </a:graphic>
          </wp:inline>
        </w:drawing>
      </w:r>
    </w:p>
    <w:p w14:paraId="3138F6A2" w14:textId="715A7EEA" w:rsidR="00AC690E" w:rsidRDefault="00AC690E" w:rsidP="00F23789">
      <w:pPr>
        <w:ind w:left="90" w:firstLine="0"/>
      </w:pPr>
    </w:p>
    <w:p w14:paraId="37C3BD96" w14:textId="03AE374A" w:rsidR="00AC690E" w:rsidRDefault="00F91860" w:rsidP="00F23789">
      <w:pPr>
        <w:ind w:left="90" w:firstLine="0"/>
      </w:pPr>
      <w:r>
        <w:t xml:space="preserve">It will then be possible to select a title from the drop-down menu and view the expenditure trend </w:t>
      </w:r>
      <w:r w:rsidR="00282EEB">
        <w:t>as a line graph across multiple fiscal years:</w:t>
      </w:r>
    </w:p>
    <w:p w14:paraId="0EBB46B6" w14:textId="3F2D30A9" w:rsidR="00282EEB" w:rsidRPr="00F95257" w:rsidRDefault="00282EEB" w:rsidP="00F23789">
      <w:pPr>
        <w:ind w:left="90" w:firstLine="0"/>
      </w:pPr>
      <w:r>
        <w:rPr>
          <w:noProof/>
        </w:rPr>
        <w:drawing>
          <wp:inline distT="0" distB="0" distL="0" distR="0" wp14:anchorId="43B0A267" wp14:editId="7496EDC2">
            <wp:extent cx="6858000" cy="2501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58000" cy="2501900"/>
                    </a:xfrm>
                    <a:prstGeom prst="rect">
                      <a:avLst/>
                    </a:prstGeom>
                  </pic:spPr>
                </pic:pic>
              </a:graphicData>
            </a:graphic>
          </wp:inline>
        </w:drawing>
      </w:r>
    </w:p>
    <w:p w14:paraId="60F8C53C" w14:textId="77777777" w:rsidR="00F95257" w:rsidRDefault="00F95257" w:rsidP="00F23789">
      <w:pPr>
        <w:ind w:left="90" w:firstLine="0"/>
        <w:rPr>
          <w:b/>
          <w:bCs/>
          <w:color w:val="00B050"/>
        </w:rPr>
      </w:pPr>
    </w:p>
    <w:p w14:paraId="3067579C" w14:textId="601BFF03" w:rsidR="00B9099C" w:rsidRDefault="00B9099C" w:rsidP="00282EEB">
      <w:pPr>
        <w:rPr>
          <w:color w:val="FF0000"/>
        </w:rPr>
      </w:pPr>
    </w:p>
    <w:p w14:paraId="2D1310D3" w14:textId="77777777" w:rsidR="00783D72" w:rsidRPr="00F23789" w:rsidRDefault="00783D72" w:rsidP="00F23789">
      <w:pPr>
        <w:ind w:left="90" w:firstLine="0"/>
        <w:rPr>
          <w:color w:val="FF0000"/>
        </w:rPr>
      </w:pPr>
    </w:p>
    <w:p w14:paraId="59ED99AC" w14:textId="2A038283" w:rsidR="00353723" w:rsidRPr="006E193A" w:rsidRDefault="004F2414" w:rsidP="00F23789">
      <w:pPr>
        <w:ind w:left="90" w:firstLine="0"/>
      </w:pPr>
      <w:r w:rsidRPr="006E193A">
        <w:rPr>
          <w:b/>
          <w:bCs/>
        </w:rPr>
        <w:t xml:space="preserve">Can </w:t>
      </w:r>
      <w:r w:rsidR="00353723" w:rsidRPr="006E193A">
        <w:rPr>
          <w:b/>
          <w:bCs/>
        </w:rPr>
        <w:t>you please explain how the Reporting Codes within POs work on the Analytics side?</w:t>
      </w:r>
    </w:p>
    <w:p w14:paraId="60094EAC" w14:textId="77777777" w:rsidR="00783D72" w:rsidRDefault="00783D72" w:rsidP="00F23789">
      <w:pPr>
        <w:ind w:left="90" w:firstLine="0"/>
      </w:pPr>
    </w:p>
    <w:p w14:paraId="23F1CC48" w14:textId="795F81F3" w:rsidR="002F6689" w:rsidRDefault="00B13987" w:rsidP="00F23789">
      <w:pPr>
        <w:ind w:left="90" w:firstLine="0"/>
      </w:pPr>
      <w:r>
        <w:t xml:space="preserve">Reporting codes are intended to be other characteristics that help to identify how a purchased item has come to be in the library’s collections. Each institution can set up three types of Reporting Codes (via Acquisitions configuration): basically Primary, Secondary and Tertiary. </w:t>
      </w:r>
      <w:r w:rsidR="002F6689">
        <w:t>This means that you will be grouping like things together. For example, Primary Reporting Code might represent the Colleges/Schools at your institution (e.g. Arts and Humanities, Sciences, Music, etc.). The Secondary Reporting Code might represent academic departments (e.g. History, Chemistry, Music Performance, etc.). The Tertiary Reporting Code might represent a faculty member or library liaison name (e.g. Hilbert, Bellavia, Fernandez, etc.) How a library sets up its Reporting Codes is completely up to that library.</w:t>
      </w:r>
    </w:p>
    <w:p w14:paraId="5FBF0CE0" w14:textId="77777777" w:rsidR="002F6689" w:rsidRDefault="002F6689" w:rsidP="00F23789">
      <w:pPr>
        <w:ind w:left="90" w:firstLine="0"/>
      </w:pPr>
    </w:p>
    <w:p w14:paraId="7E4ECCE0" w14:textId="0E369A03" w:rsidR="00353723" w:rsidRDefault="00B13987" w:rsidP="00F23789">
      <w:pPr>
        <w:ind w:left="90" w:firstLine="0"/>
      </w:pPr>
      <w:r>
        <w:t xml:space="preserve">When all three levels are present, </w:t>
      </w:r>
      <w:r w:rsidR="002F6689">
        <w:t>PO Lines, expect all three Reporting Codes to be used. See the screen captures below.</w:t>
      </w:r>
    </w:p>
    <w:p w14:paraId="2D36FFF4" w14:textId="3205EFCF" w:rsidR="002F6689" w:rsidRDefault="002F6689" w:rsidP="00F23789">
      <w:pPr>
        <w:ind w:left="90" w:firstLine="0"/>
      </w:pPr>
    </w:p>
    <w:p w14:paraId="28CDAC92" w14:textId="642C989B" w:rsidR="002F6689" w:rsidRDefault="002F6689" w:rsidP="00F23789">
      <w:pPr>
        <w:ind w:left="90" w:firstLine="0"/>
      </w:pPr>
      <w:r w:rsidRPr="002F6689">
        <w:rPr>
          <w:noProof/>
        </w:rPr>
        <w:lastRenderedPageBreak/>
        <w:drawing>
          <wp:inline distT="0" distB="0" distL="0" distR="0" wp14:anchorId="6A84E4DA" wp14:editId="22500618">
            <wp:extent cx="1934357" cy="943356"/>
            <wp:effectExtent l="19050" t="19050" r="2794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34357" cy="943356"/>
                    </a:xfrm>
                    <a:prstGeom prst="rect">
                      <a:avLst/>
                    </a:prstGeom>
                    <a:ln>
                      <a:solidFill>
                        <a:schemeClr val="tx1"/>
                      </a:solidFill>
                    </a:ln>
                  </pic:spPr>
                </pic:pic>
              </a:graphicData>
            </a:graphic>
          </wp:inline>
        </w:drawing>
      </w:r>
    </w:p>
    <w:p w14:paraId="1DE768EC" w14:textId="32CFD16B" w:rsidR="002F6689" w:rsidRDefault="002F6689" w:rsidP="00F23789">
      <w:pPr>
        <w:ind w:left="90" w:firstLine="0"/>
      </w:pPr>
    </w:p>
    <w:p w14:paraId="69A1B841" w14:textId="13912875" w:rsidR="002F6689" w:rsidRDefault="002F6689" w:rsidP="00F23789">
      <w:pPr>
        <w:ind w:left="90" w:firstLine="0"/>
      </w:pPr>
      <w:r w:rsidRPr="002F6689">
        <w:rPr>
          <w:noProof/>
        </w:rPr>
        <w:drawing>
          <wp:inline distT="0" distB="0" distL="0" distR="0" wp14:anchorId="366A7200" wp14:editId="24DFCA78">
            <wp:extent cx="6858000" cy="1483360"/>
            <wp:effectExtent l="19050" t="19050" r="19050"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58000" cy="1483360"/>
                    </a:xfrm>
                    <a:prstGeom prst="rect">
                      <a:avLst/>
                    </a:prstGeom>
                    <a:ln>
                      <a:solidFill>
                        <a:schemeClr val="tx1"/>
                      </a:solidFill>
                    </a:ln>
                  </pic:spPr>
                </pic:pic>
              </a:graphicData>
            </a:graphic>
          </wp:inline>
        </w:drawing>
      </w:r>
    </w:p>
    <w:p w14:paraId="42C9C1F5" w14:textId="77777777" w:rsidR="002F6689" w:rsidRDefault="002F6689" w:rsidP="00F23789">
      <w:pPr>
        <w:ind w:left="90" w:firstLine="0"/>
      </w:pPr>
    </w:p>
    <w:p w14:paraId="19066F6D" w14:textId="78CF492F" w:rsidR="002F6689" w:rsidRPr="00B13987" w:rsidRDefault="002F6689" w:rsidP="00F23789">
      <w:pPr>
        <w:ind w:left="90" w:firstLine="0"/>
      </w:pPr>
      <w:r w:rsidRPr="002F6689">
        <w:rPr>
          <w:noProof/>
        </w:rPr>
        <w:drawing>
          <wp:inline distT="0" distB="0" distL="0" distR="0" wp14:anchorId="433778D3" wp14:editId="7ECA64A5">
            <wp:extent cx="6858000" cy="1644650"/>
            <wp:effectExtent l="19050" t="19050" r="1905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58000" cy="1644650"/>
                    </a:xfrm>
                    <a:prstGeom prst="rect">
                      <a:avLst/>
                    </a:prstGeom>
                    <a:ln>
                      <a:solidFill>
                        <a:schemeClr val="tx1"/>
                      </a:solidFill>
                    </a:ln>
                  </pic:spPr>
                </pic:pic>
              </a:graphicData>
            </a:graphic>
          </wp:inline>
        </w:drawing>
      </w:r>
    </w:p>
    <w:p w14:paraId="5C2C9F7B" w14:textId="77777777" w:rsidR="00353723" w:rsidRPr="00F23789" w:rsidRDefault="00353723" w:rsidP="00F23789">
      <w:pPr>
        <w:ind w:left="90" w:firstLine="0"/>
        <w:rPr>
          <w:color w:val="FF0000"/>
        </w:rPr>
      </w:pPr>
    </w:p>
    <w:p w14:paraId="36EF25C0" w14:textId="22CC0996" w:rsidR="00353723" w:rsidRPr="006E193A" w:rsidRDefault="00353723" w:rsidP="00F23789">
      <w:pPr>
        <w:ind w:left="90" w:firstLine="0"/>
      </w:pPr>
      <w:r w:rsidRPr="006E193A">
        <w:rPr>
          <w:b/>
          <w:bCs/>
        </w:rPr>
        <w:t>When is it better to use a pivot table rather than a table?</w:t>
      </w:r>
    </w:p>
    <w:p w14:paraId="0F87F817" w14:textId="131DB022" w:rsidR="00353723" w:rsidRDefault="00353723" w:rsidP="00F23789">
      <w:pPr>
        <w:ind w:left="90" w:firstLine="0"/>
        <w:rPr>
          <w:color w:val="FF0000"/>
        </w:rPr>
      </w:pPr>
    </w:p>
    <w:p w14:paraId="357864D3" w14:textId="4D33D9A9" w:rsidR="00734DB8" w:rsidRDefault="00734DB8" w:rsidP="002F6689">
      <w:pPr>
        <w:ind w:left="90" w:firstLine="0"/>
      </w:pPr>
      <w:r w:rsidRPr="00734DB8">
        <w:t xml:space="preserve">There is no </w:t>
      </w:r>
      <w:r>
        <w:t xml:space="preserve">one rule for when to use a pivot table, but pivot tables can help when </w:t>
      </w:r>
      <w:r w:rsidR="0071643F">
        <w:t>the goal is to see a summary of the data versus drilling down row by row.</w:t>
      </w:r>
    </w:p>
    <w:p w14:paraId="5931F57F" w14:textId="6CA3DF74" w:rsidR="0071643F" w:rsidRDefault="0071643F" w:rsidP="002F6689">
      <w:pPr>
        <w:ind w:left="90" w:firstLine="0"/>
      </w:pPr>
    </w:p>
    <w:p w14:paraId="65C04892" w14:textId="0BF3E121" w:rsidR="0071643F" w:rsidRDefault="00C60A5C" w:rsidP="002F6689">
      <w:pPr>
        <w:ind w:left="90" w:firstLine="0"/>
      </w:pPr>
      <w:r>
        <w:t>If a primary purpose of an analysis is to see counts, and you want to see</w:t>
      </w:r>
      <w:r w:rsidR="00ED451A">
        <w:t xml:space="preserve"> how these counts compare across common limiters, like Fiscal Year or Item Location, a pivot table may help </w:t>
      </w:r>
      <w:r w:rsidR="009867DD">
        <w:t>show an overview of that data.</w:t>
      </w:r>
    </w:p>
    <w:p w14:paraId="26107559" w14:textId="6072A04F" w:rsidR="009867DD" w:rsidRDefault="009867DD" w:rsidP="002F6689">
      <w:pPr>
        <w:ind w:left="90" w:firstLine="0"/>
      </w:pPr>
    </w:p>
    <w:p w14:paraId="287CF3C2" w14:textId="5F63E8B0" w:rsidR="009867DD" w:rsidRDefault="00C82337" w:rsidP="002F6689">
      <w:pPr>
        <w:ind w:left="90" w:firstLine="0"/>
      </w:pPr>
      <w:r>
        <w:t xml:space="preserve">When looking at the Cost Changes of Subscriptions report in a regular table view, each Title has two rows, one for each </w:t>
      </w:r>
      <w:r w:rsidR="006B4E72">
        <w:t>Fiscal Year:</w:t>
      </w:r>
    </w:p>
    <w:p w14:paraId="16E28214" w14:textId="2360BD37" w:rsidR="006B4E72" w:rsidRDefault="006B4E72" w:rsidP="002F6689">
      <w:pPr>
        <w:ind w:left="90" w:firstLine="0"/>
      </w:pPr>
      <w:r>
        <w:rPr>
          <w:noProof/>
        </w:rPr>
        <w:drawing>
          <wp:inline distT="0" distB="0" distL="0" distR="0" wp14:anchorId="1F020CBF" wp14:editId="7E79D802">
            <wp:extent cx="6858000" cy="18630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858000" cy="1863090"/>
                    </a:xfrm>
                    <a:prstGeom prst="rect">
                      <a:avLst/>
                    </a:prstGeom>
                  </pic:spPr>
                </pic:pic>
              </a:graphicData>
            </a:graphic>
          </wp:inline>
        </w:drawing>
      </w:r>
    </w:p>
    <w:p w14:paraId="51479D74" w14:textId="553021FA" w:rsidR="006B4E72" w:rsidRDefault="006B4E72" w:rsidP="002F6689">
      <w:pPr>
        <w:ind w:left="90" w:firstLine="0"/>
      </w:pPr>
    </w:p>
    <w:p w14:paraId="32945394" w14:textId="75906C2D" w:rsidR="006B4E72" w:rsidRPr="00734DB8" w:rsidRDefault="006B4E72" w:rsidP="002F6689">
      <w:pPr>
        <w:ind w:left="90" w:firstLine="0"/>
      </w:pPr>
      <w:r>
        <w:lastRenderedPageBreak/>
        <w:t xml:space="preserve">This makes it a lot harder to see the difference between two years </w:t>
      </w:r>
      <w:proofErr w:type="gramStart"/>
      <w:r>
        <w:t>at a glance</w:t>
      </w:r>
      <w:proofErr w:type="gramEnd"/>
      <w:r>
        <w:t xml:space="preserve">. </w:t>
      </w:r>
      <w:r w:rsidR="00D67AE9">
        <w:t xml:space="preserve">If a report has multiple </w:t>
      </w:r>
      <w:r w:rsidR="002D39AF">
        <w:t xml:space="preserve">rows of corresponding data like this, </w:t>
      </w:r>
      <w:proofErr w:type="gramStart"/>
      <w:r w:rsidR="002D39AF">
        <w:t>it’s</w:t>
      </w:r>
      <w:proofErr w:type="gramEnd"/>
      <w:r w:rsidR="002D39AF">
        <w:t xml:space="preserve"> a good</w:t>
      </w:r>
      <w:r w:rsidR="00BE4CD8">
        <w:t xml:space="preserve"> time to try a pivot table to format the data in a more readable way!</w:t>
      </w:r>
    </w:p>
    <w:p w14:paraId="0D04945D" w14:textId="77777777" w:rsidR="00734DB8" w:rsidRDefault="00734DB8" w:rsidP="002F6689">
      <w:pPr>
        <w:ind w:left="90" w:firstLine="0"/>
        <w:rPr>
          <w:b/>
          <w:bCs/>
          <w:color w:val="00B050"/>
        </w:rPr>
      </w:pPr>
    </w:p>
    <w:p w14:paraId="74FACB1C" w14:textId="52642E73" w:rsidR="002F6689" w:rsidRDefault="002F6689" w:rsidP="00F23789">
      <w:pPr>
        <w:ind w:left="90" w:firstLine="0"/>
        <w:rPr>
          <w:color w:val="FF0000"/>
        </w:rPr>
      </w:pPr>
    </w:p>
    <w:p w14:paraId="6856DECC" w14:textId="77777777" w:rsidR="00052DE3" w:rsidRPr="00F23789" w:rsidRDefault="00052DE3" w:rsidP="00F23789">
      <w:pPr>
        <w:ind w:left="90" w:firstLine="0"/>
        <w:rPr>
          <w:color w:val="FF0000"/>
        </w:rPr>
      </w:pPr>
    </w:p>
    <w:p w14:paraId="6E454CD0" w14:textId="4C0CD173" w:rsidR="00353723" w:rsidRPr="006E193A" w:rsidRDefault="00353723" w:rsidP="00F23789">
      <w:pPr>
        <w:ind w:left="90" w:firstLine="0"/>
      </w:pPr>
      <w:r w:rsidRPr="006E193A">
        <w:rPr>
          <w:b/>
          <w:bCs/>
        </w:rPr>
        <w:t>One more quick question, can you mention again where we can locate the bonus report, "budget summary"?</w:t>
      </w:r>
    </w:p>
    <w:p w14:paraId="6F5FFEB5" w14:textId="77777777" w:rsidR="00B13987" w:rsidRDefault="001031F7" w:rsidP="001031F7">
      <w:pPr>
        <w:ind w:left="90" w:firstLine="0"/>
      </w:pPr>
      <w:r>
        <w:t xml:space="preserve">You can access it here: </w:t>
      </w:r>
    </w:p>
    <w:p w14:paraId="3D5D9B1E" w14:textId="77777777" w:rsidR="00B13987" w:rsidRDefault="00B13987" w:rsidP="001031F7">
      <w:pPr>
        <w:ind w:left="90" w:firstLine="0"/>
      </w:pPr>
    </w:p>
    <w:p w14:paraId="0A339562" w14:textId="66E40D7B" w:rsidR="001031F7" w:rsidRDefault="004F74CB" w:rsidP="001031F7">
      <w:pPr>
        <w:ind w:left="90" w:firstLine="0"/>
      </w:pPr>
      <w:hyperlink r:id="rId31" w:history="1">
        <w:r w:rsidR="00B13987" w:rsidRPr="00951E00">
          <w:rPr>
            <w:rStyle w:val="Hyperlink"/>
          </w:rPr>
          <w:t>https://knowledge.exlibrisgroup.com/Cross_Product/Conferences_and_Seminars/Knowledge_Days_-_ELUNA/2020_Knowledge_Days</w:t>
        </w:r>
      </w:hyperlink>
      <w:r w:rsidR="001031F7">
        <w:t xml:space="preserve">. </w:t>
      </w:r>
    </w:p>
    <w:p w14:paraId="506D2397" w14:textId="1E98FF4F" w:rsidR="00353723" w:rsidRDefault="00353723" w:rsidP="00F23789">
      <w:pPr>
        <w:ind w:left="90" w:firstLine="0"/>
        <w:rPr>
          <w:color w:val="FF0000"/>
        </w:rPr>
      </w:pPr>
    </w:p>
    <w:p w14:paraId="6E872A07" w14:textId="77777777" w:rsidR="00052DE3" w:rsidRPr="00F23789" w:rsidRDefault="00052DE3" w:rsidP="00F23789">
      <w:pPr>
        <w:ind w:left="90" w:firstLine="0"/>
        <w:rPr>
          <w:color w:val="FF0000"/>
        </w:rPr>
      </w:pPr>
    </w:p>
    <w:p w14:paraId="05FB2F4D" w14:textId="00DC508E" w:rsidR="00353723" w:rsidRPr="006E193A" w:rsidRDefault="004F2414" w:rsidP="00F23789">
      <w:pPr>
        <w:ind w:left="90" w:firstLine="0"/>
      </w:pPr>
      <w:r w:rsidRPr="006E193A">
        <w:rPr>
          <w:b/>
          <w:bCs/>
        </w:rPr>
        <w:t xml:space="preserve">How </w:t>
      </w:r>
      <w:r w:rsidR="00353723" w:rsidRPr="006E193A">
        <w:rPr>
          <w:b/>
          <w:bCs/>
        </w:rPr>
        <w:t>do I explore the difference between measures &amp; rows?</w:t>
      </w:r>
    </w:p>
    <w:p w14:paraId="10524F7A" w14:textId="34B62760" w:rsidR="00353723" w:rsidRDefault="00353723" w:rsidP="00F23789">
      <w:pPr>
        <w:ind w:left="90" w:firstLine="0"/>
      </w:pPr>
    </w:p>
    <w:p w14:paraId="02FF04E9" w14:textId="570E0B95" w:rsidR="00AC647A" w:rsidRDefault="00AC647A" w:rsidP="00F23789">
      <w:pPr>
        <w:ind w:left="90" w:firstLine="0"/>
      </w:pPr>
      <w:r w:rsidRPr="00AC647A">
        <w:t xml:space="preserve">The best way is to </w:t>
      </w:r>
      <w:r w:rsidR="00E605AC">
        <w:t xml:space="preserve">play with the pivot table configuration a bit. Edit the </w:t>
      </w:r>
      <w:r w:rsidR="005D00EB">
        <w:t>p</w:t>
      </w:r>
      <w:r w:rsidR="00E605AC">
        <w:t xml:space="preserve">ivot </w:t>
      </w:r>
      <w:r w:rsidR="005D00EB">
        <w:t>t</w:t>
      </w:r>
      <w:r w:rsidR="00E605AC">
        <w:t xml:space="preserve">able </w:t>
      </w:r>
      <w:proofErr w:type="gramStart"/>
      <w:r w:rsidR="00E605AC">
        <w:t>view, and</w:t>
      </w:r>
      <w:proofErr w:type="gramEnd"/>
      <w:r w:rsidR="00E605AC">
        <w:t xml:space="preserve"> drag </w:t>
      </w:r>
      <w:r w:rsidR="005D00EB">
        <w:t>fields back and forth to see how that changes the display.</w:t>
      </w:r>
    </w:p>
    <w:p w14:paraId="0494DEE9" w14:textId="5E383595" w:rsidR="005D00EB" w:rsidRDefault="005D00EB" w:rsidP="00F23789">
      <w:pPr>
        <w:ind w:left="90" w:firstLine="0"/>
      </w:pPr>
    </w:p>
    <w:p w14:paraId="2D6C8406" w14:textId="6BFCE85C" w:rsidR="005D00EB" w:rsidRDefault="00B44070" w:rsidP="00F23789">
      <w:pPr>
        <w:ind w:left="90" w:firstLine="0"/>
      </w:pPr>
      <w:r>
        <w:t xml:space="preserve">Generally, in a pivot table, measures will be calculated </w:t>
      </w:r>
      <w:r w:rsidR="008A6BB0">
        <w:t xml:space="preserve">according to both the row and the column. If a field </w:t>
      </w:r>
      <w:r w:rsidR="00D32539">
        <w:t xml:space="preserve">does not apply to both the row and the column, then it should probably </w:t>
      </w:r>
      <w:r w:rsidR="001A2559">
        <w:t xml:space="preserve">be a </w:t>
      </w:r>
      <w:r w:rsidR="00914D81">
        <w:t>row.</w:t>
      </w:r>
    </w:p>
    <w:p w14:paraId="606AF79F" w14:textId="02AA85AD" w:rsidR="00914D81" w:rsidRDefault="00914D81" w:rsidP="00F23789">
      <w:pPr>
        <w:ind w:left="90" w:firstLine="0"/>
      </w:pPr>
    </w:p>
    <w:p w14:paraId="762573A1" w14:textId="229DD854" w:rsidR="00A1782A" w:rsidRDefault="00914D81" w:rsidP="00BE3054">
      <w:pPr>
        <w:ind w:left="90" w:firstLine="0"/>
      </w:pPr>
      <w:r>
        <w:t xml:space="preserve">In the case of the % Change field, when included in the Measures section of the pivot table, </w:t>
      </w:r>
      <w:r w:rsidR="00A1782A">
        <w:t>the field appears twice, once for each Fiscal Year:</w:t>
      </w:r>
    </w:p>
    <w:p w14:paraId="2DFAA259" w14:textId="40C5B184" w:rsidR="00A1782A" w:rsidRDefault="00BE3054" w:rsidP="00F23789">
      <w:pPr>
        <w:ind w:left="90" w:firstLine="0"/>
      </w:pPr>
      <w:r>
        <w:rPr>
          <w:noProof/>
        </w:rPr>
        <w:drawing>
          <wp:inline distT="0" distB="0" distL="0" distR="0" wp14:anchorId="7B37EA5E" wp14:editId="2B271B0D">
            <wp:extent cx="6114286" cy="1952381"/>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14286" cy="1952381"/>
                    </a:xfrm>
                    <a:prstGeom prst="rect">
                      <a:avLst/>
                    </a:prstGeom>
                  </pic:spPr>
                </pic:pic>
              </a:graphicData>
            </a:graphic>
          </wp:inline>
        </w:drawing>
      </w:r>
    </w:p>
    <w:p w14:paraId="7534E7B4" w14:textId="1C80D181" w:rsidR="005D00EB" w:rsidRDefault="005D00EB" w:rsidP="00F23789">
      <w:pPr>
        <w:ind w:left="90" w:firstLine="0"/>
      </w:pPr>
    </w:p>
    <w:p w14:paraId="14F2042E" w14:textId="3A4559DC" w:rsidR="00BE3054" w:rsidRDefault="00BE3054" w:rsidP="00F23789">
      <w:pPr>
        <w:ind w:left="90" w:firstLine="0"/>
      </w:pPr>
      <w:r>
        <w:t>The math for this field, however</w:t>
      </w:r>
      <w:r w:rsidR="006B756E">
        <w:t xml:space="preserve">, requires </w:t>
      </w:r>
      <w:r>
        <w:t xml:space="preserve">values from both FY2019 and FY2020. </w:t>
      </w:r>
      <w:r w:rsidR="006311D3">
        <w:t>When</w:t>
      </w:r>
      <w:r w:rsidR="005F0349">
        <w:t xml:space="preserve"> separated in the pivot table according to Fiscal Year, </w:t>
      </w:r>
      <w:r w:rsidR="006B756E">
        <w:t>half of the data is missing for the calculation, so the field is empty.</w:t>
      </w:r>
    </w:p>
    <w:p w14:paraId="119520C5" w14:textId="2116E2DC" w:rsidR="006B756E" w:rsidRDefault="006B756E" w:rsidP="00F23789">
      <w:pPr>
        <w:ind w:left="90" w:firstLine="0"/>
      </w:pPr>
    </w:p>
    <w:p w14:paraId="0609DBBB" w14:textId="049D7703" w:rsidR="006B756E" w:rsidRDefault="0090674C" w:rsidP="00F23789">
      <w:pPr>
        <w:ind w:left="90" w:firstLine="0"/>
      </w:pPr>
      <w:r>
        <w:t xml:space="preserve">As such, the % Change field needs to be a row, so that it can use the expenditure amounts per title for both FY2019 and FY2020 </w:t>
      </w:r>
      <w:r w:rsidR="00F95257">
        <w:t>to perform the calculation.</w:t>
      </w:r>
    </w:p>
    <w:p w14:paraId="4B1161B8" w14:textId="0CF45E06" w:rsidR="00052DE3" w:rsidRDefault="00052DE3" w:rsidP="00F95257"/>
    <w:sectPr w:rsidR="00052DE3" w:rsidSect="001031F7">
      <w:head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C79FE" w14:textId="77777777" w:rsidR="004F74CB" w:rsidRDefault="004F74CB" w:rsidP="00353723">
      <w:r>
        <w:separator/>
      </w:r>
    </w:p>
  </w:endnote>
  <w:endnote w:type="continuationSeparator" w:id="0">
    <w:p w14:paraId="3CF601A4" w14:textId="77777777" w:rsidR="004F74CB" w:rsidRDefault="004F74CB" w:rsidP="0035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1B123" w14:textId="77777777" w:rsidR="004F74CB" w:rsidRDefault="004F74CB" w:rsidP="00353723">
      <w:r>
        <w:separator/>
      </w:r>
    </w:p>
  </w:footnote>
  <w:footnote w:type="continuationSeparator" w:id="0">
    <w:p w14:paraId="1D3812CC" w14:textId="77777777" w:rsidR="004F74CB" w:rsidRDefault="004F74CB" w:rsidP="0035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0161" w14:textId="77E9C3E5" w:rsidR="00353723" w:rsidRDefault="00353723" w:rsidP="00B9099C">
    <w:pPr>
      <w:pStyle w:val="Header"/>
      <w:jc w:val="center"/>
      <w:rPr>
        <w:rFonts w:ascii="Roboto" w:hAnsi="Roboto"/>
        <w:b/>
        <w:bCs/>
        <w:sz w:val="52"/>
        <w:szCs w:val="52"/>
      </w:rPr>
    </w:pPr>
    <w:r>
      <w:rPr>
        <w:noProof/>
      </w:rPr>
      <w:drawing>
        <wp:anchor distT="0" distB="0" distL="114300" distR="114300" simplePos="0" relativeHeight="251659264" behindDoc="1" locked="0" layoutInCell="1" allowOverlap="1" wp14:anchorId="14A1F213" wp14:editId="3524A74E">
          <wp:simplePos x="0" y="0"/>
          <wp:positionH relativeFrom="column">
            <wp:posOffset>-76200</wp:posOffset>
          </wp:positionH>
          <wp:positionV relativeFrom="paragraph">
            <wp:posOffset>-407035</wp:posOffset>
          </wp:positionV>
          <wp:extent cx="1856105" cy="772795"/>
          <wp:effectExtent l="0" t="0" r="0" b="8255"/>
          <wp:wrapTight wrapText="bothSides">
            <wp:wrapPolygon edited="0">
              <wp:start x="11750" y="0"/>
              <wp:lineTo x="0" y="5325"/>
              <wp:lineTo x="0" y="17039"/>
              <wp:lineTo x="7316" y="18636"/>
              <wp:lineTo x="7316" y="21298"/>
              <wp:lineTo x="11085" y="21298"/>
              <wp:lineTo x="20839" y="21298"/>
              <wp:lineTo x="21282" y="17039"/>
              <wp:lineTo x="21282" y="14376"/>
              <wp:lineTo x="21061" y="8519"/>
              <wp:lineTo x="16627" y="1065"/>
              <wp:lineTo x="15740" y="0"/>
              <wp:lineTo x="1175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libris_ProQuest 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856105" cy="772795"/>
                  </a:xfrm>
                  <a:prstGeom prst="rect">
                    <a:avLst/>
                  </a:prstGeom>
                </pic:spPr>
              </pic:pic>
            </a:graphicData>
          </a:graphic>
          <wp14:sizeRelH relativeFrom="margin">
            <wp14:pctWidth>0</wp14:pctWidth>
          </wp14:sizeRelH>
          <wp14:sizeRelV relativeFrom="margin">
            <wp14:pctHeight>0</wp14:pctHeight>
          </wp14:sizeRelV>
        </wp:anchor>
      </w:drawing>
    </w:r>
    <w:r w:rsidRPr="00353723">
      <w:rPr>
        <w:rFonts w:ascii="Roboto" w:hAnsi="Roboto"/>
        <w:b/>
        <w:bCs/>
        <w:sz w:val="52"/>
        <w:szCs w:val="52"/>
      </w:rPr>
      <w:t>Best of Knowledge Days 2020</w:t>
    </w:r>
  </w:p>
  <w:p w14:paraId="5E0D1642" w14:textId="77777777" w:rsidR="00B9099C" w:rsidRPr="00B9099C" w:rsidRDefault="00B9099C" w:rsidP="00B9099C">
    <w:pPr>
      <w:pStyle w:val="Header"/>
      <w:rPr>
        <w:rFonts w:ascii="Roboto" w:hAnsi="Roboto"/>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23"/>
    <w:rsid w:val="000044F0"/>
    <w:rsid w:val="00034216"/>
    <w:rsid w:val="00052DE3"/>
    <w:rsid w:val="001031F7"/>
    <w:rsid w:val="001A2559"/>
    <w:rsid w:val="001D1E6F"/>
    <w:rsid w:val="00282EEB"/>
    <w:rsid w:val="002D39AF"/>
    <w:rsid w:val="002F6689"/>
    <w:rsid w:val="00306386"/>
    <w:rsid w:val="003338A6"/>
    <w:rsid w:val="00353723"/>
    <w:rsid w:val="004F2414"/>
    <w:rsid w:val="004F2B43"/>
    <w:rsid w:val="004F74CB"/>
    <w:rsid w:val="00505EEF"/>
    <w:rsid w:val="005370DE"/>
    <w:rsid w:val="005B38B5"/>
    <w:rsid w:val="005C7039"/>
    <w:rsid w:val="005D00EB"/>
    <w:rsid w:val="005E2AB3"/>
    <w:rsid w:val="005F0349"/>
    <w:rsid w:val="0060455A"/>
    <w:rsid w:val="00622EFF"/>
    <w:rsid w:val="006311D3"/>
    <w:rsid w:val="006B4E72"/>
    <w:rsid w:val="006B756E"/>
    <w:rsid w:val="006C342C"/>
    <w:rsid w:val="006E193A"/>
    <w:rsid w:val="007132C5"/>
    <w:rsid w:val="0071643F"/>
    <w:rsid w:val="00734DB8"/>
    <w:rsid w:val="00780CE6"/>
    <w:rsid w:val="00783D72"/>
    <w:rsid w:val="00793C8B"/>
    <w:rsid w:val="008235EA"/>
    <w:rsid w:val="008A6BB0"/>
    <w:rsid w:val="0090674C"/>
    <w:rsid w:val="00914D81"/>
    <w:rsid w:val="00931122"/>
    <w:rsid w:val="009833B2"/>
    <w:rsid w:val="00983869"/>
    <w:rsid w:val="009867DD"/>
    <w:rsid w:val="00A1782A"/>
    <w:rsid w:val="00A364AD"/>
    <w:rsid w:val="00A60E0D"/>
    <w:rsid w:val="00A667F5"/>
    <w:rsid w:val="00A7212B"/>
    <w:rsid w:val="00A87138"/>
    <w:rsid w:val="00AC647A"/>
    <w:rsid w:val="00AC690E"/>
    <w:rsid w:val="00B108BC"/>
    <w:rsid w:val="00B13987"/>
    <w:rsid w:val="00B31CE5"/>
    <w:rsid w:val="00B44070"/>
    <w:rsid w:val="00B468D3"/>
    <w:rsid w:val="00B61374"/>
    <w:rsid w:val="00B853C4"/>
    <w:rsid w:val="00B9099C"/>
    <w:rsid w:val="00BD55BB"/>
    <w:rsid w:val="00BE3054"/>
    <w:rsid w:val="00BE4CD8"/>
    <w:rsid w:val="00C60A5C"/>
    <w:rsid w:val="00C82337"/>
    <w:rsid w:val="00CB547A"/>
    <w:rsid w:val="00D32539"/>
    <w:rsid w:val="00D67AE9"/>
    <w:rsid w:val="00E605AC"/>
    <w:rsid w:val="00EA572A"/>
    <w:rsid w:val="00EB7E42"/>
    <w:rsid w:val="00ED3556"/>
    <w:rsid w:val="00ED451A"/>
    <w:rsid w:val="00F23789"/>
    <w:rsid w:val="00F91860"/>
    <w:rsid w:val="00F95257"/>
    <w:rsid w:val="00FE1070"/>
    <w:rsid w:val="00FE4F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1062"/>
  <w15:chartTrackingRefBased/>
  <w15:docId w15:val="{622FF9FD-3A92-4CDD-8ED9-30E395AA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ind w:left="317" w:hanging="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723"/>
    <w:pPr>
      <w:tabs>
        <w:tab w:val="center" w:pos="4680"/>
        <w:tab w:val="right" w:pos="9360"/>
      </w:tabs>
    </w:pPr>
  </w:style>
  <w:style w:type="character" w:customStyle="1" w:styleId="HeaderChar">
    <w:name w:val="Header Char"/>
    <w:basedOn w:val="DefaultParagraphFont"/>
    <w:link w:val="Header"/>
    <w:uiPriority w:val="99"/>
    <w:rsid w:val="00353723"/>
  </w:style>
  <w:style w:type="paragraph" w:styleId="Footer">
    <w:name w:val="footer"/>
    <w:basedOn w:val="Normal"/>
    <w:link w:val="FooterChar"/>
    <w:uiPriority w:val="99"/>
    <w:unhideWhenUsed/>
    <w:rsid w:val="00353723"/>
    <w:pPr>
      <w:tabs>
        <w:tab w:val="center" w:pos="4680"/>
        <w:tab w:val="right" w:pos="9360"/>
      </w:tabs>
    </w:pPr>
  </w:style>
  <w:style w:type="character" w:customStyle="1" w:styleId="FooterChar">
    <w:name w:val="Footer Char"/>
    <w:basedOn w:val="DefaultParagraphFont"/>
    <w:link w:val="Footer"/>
    <w:uiPriority w:val="99"/>
    <w:rsid w:val="00353723"/>
  </w:style>
  <w:style w:type="character" w:styleId="Hyperlink">
    <w:name w:val="Hyperlink"/>
    <w:basedOn w:val="DefaultParagraphFont"/>
    <w:uiPriority w:val="99"/>
    <w:unhideWhenUsed/>
    <w:rsid w:val="004F2414"/>
    <w:rPr>
      <w:color w:val="0563C1" w:themeColor="hyperlink"/>
      <w:u w:val="single"/>
    </w:rPr>
  </w:style>
  <w:style w:type="character" w:styleId="UnresolvedMention">
    <w:name w:val="Unresolved Mention"/>
    <w:basedOn w:val="DefaultParagraphFont"/>
    <w:uiPriority w:val="99"/>
    <w:semiHidden/>
    <w:unhideWhenUsed/>
    <w:rsid w:val="004F2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nowledge.exlibrisgroup.com/Alma/Knowledge_Articles/Set_Up_RSS_Feed_for_New_Items" TargetMode="External"/><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knowledge.exlibrisgroup.com/Alma/Product_Documentation/010Alma_Online_Help_(English)/080Analytics/010Introduction/The_Basics_of_Working_with_Analytics/060Creating_a_Dashboard"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docs.oracle.com/en/cloud/paas/bi-cloud/bilug/modify-layout-data-views.html"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oracle.com/cd/E21764_01/bi.1111/e10544/appsql.htm" TargetMode="External"/><Relationship Id="rId24" Type="http://schemas.openxmlformats.org/officeDocument/2006/relationships/image" Target="media/image7.png"/><Relationship Id="rId32"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hyperlink" Target="https://knowledge.exlibrisgroup.com/Alma/Knowledge_Articles/Add_bibliographic_fields_to_Alma_Analytics" TargetMode="External"/><Relationship Id="rId23" Type="http://schemas.openxmlformats.org/officeDocument/2006/relationships/hyperlink" Target="https://knowledge.exlibrisgroup.com/Cross_Product/Conferences_and_Seminars/Knowledge_Days_-_ELUNA/2020_Knowledge_Days" TargetMode="External"/><Relationship Id="rId28" Type="http://schemas.openxmlformats.org/officeDocument/2006/relationships/image" Target="media/image11.png"/><Relationship Id="rId10" Type="http://schemas.openxmlformats.org/officeDocument/2006/relationships/hyperlink" Target="https://knowledge.exlibrisgroup.com/Alma/Product_Documentation/010Alma_Online_Help_(English)/080Analytics/080Shared_Dimensions/010Bibliographic_Details" TargetMode="External"/><Relationship Id="rId19" Type="http://schemas.openxmlformats.org/officeDocument/2006/relationships/image" Target="media/image4.png"/><Relationship Id="rId31" Type="http://schemas.openxmlformats.org/officeDocument/2006/relationships/hyperlink" Target="https://knowledge.exlibrisgroup.com/Cross_Product/Conferences_and_Seminars/Knowledge_Days_-_ELUNA/2020_Knowledge_Days" TargetMode="External"/><Relationship Id="rId4" Type="http://schemas.openxmlformats.org/officeDocument/2006/relationships/styles" Target="styles.xml"/><Relationship Id="rId9" Type="http://schemas.openxmlformats.org/officeDocument/2006/relationships/hyperlink" Target="https://knowledge.exlibrisgroup.com/Cross_Product/Conferences_and_Seminars/Knowledge_Days_-_ELUNA/2020_Knowledge_Days" TargetMode="External"/><Relationship Id="rId14" Type="http://schemas.openxmlformats.org/officeDocument/2006/relationships/hyperlink" Target="https://knowledge.exlibrisgroup.com/Alma/Product_Documentation/010Alma_Online_Help_(English)/080Analytics/Alma_Analytics_Subject_Areas/Physical_Items"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18b6fd04ac21769b16e90311f4719398">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16370a52501c3334731c288ab50c0c1"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111AF-EAC8-4CEC-B122-D8B7757291E6}">
  <ds:schemaRefs>
    <ds:schemaRef ds:uri="http://schemas.microsoft.com/sharepoint/v3/contenttype/forms"/>
  </ds:schemaRefs>
</ds:datastoreItem>
</file>

<file path=customXml/itemProps2.xml><?xml version="1.0" encoding="utf-8"?>
<ds:datastoreItem xmlns:ds="http://schemas.openxmlformats.org/officeDocument/2006/customXml" ds:itemID="{DDCC7CE6-B022-4304-A722-8D2039663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39C9B-53A0-4BDB-8661-EADFCF8540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Cheney</dc:creator>
  <cp:keywords/>
  <dc:description/>
  <cp:lastModifiedBy>Dominic Doneux</cp:lastModifiedBy>
  <cp:revision>6</cp:revision>
  <dcterms:created xsi:type="dcterms:W3CDTF">2020-05-11T23:37:00Z</dcterms:created>
  <dcterms:modified xsi:type="dcterms:W3CDTF">2020-05-21T16:59:00Z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